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30"/>
          <w:szCs w:val="30"/>
          <w:lang w:val="en-US" w:eastAsia="zh-CN"/>
        </w:rPr>
      </w:pPr>
      <w:r>
        <w:rPr>
          <w:rFonts w:hint="eastAsia" w:ascii="宋体" w:hAnsi="宋体"/>
          <w:b/>
          <w:sz w:val="30"/>
          <w:szCs w:val="30"/>
          <w:lang w:val="en-US" w:eastAsia="zh-CN"/>
        </w:rPr>
        <w:t>梅州市梅县区新城供水有限公司（</w:t>
      </w:r>
      <w:r>
        <w:rPr>
          <w:rFonts w:hint="eastAsia" w:ascii="宋体" w:hAnsi="宋体"/>
          <w:b/>
          <w:sz w:val="30"/>
          <w:szCs w:val="30"/>
        </w:rPr>
        <w:t>梅南江坪电站</w:t>
      </w:r>
      <w:r>
        <w:rPr>
          <w:rFonts w:hint="eastAsia" w:ascii="宋体" w:hAnsi="宋体"/>
          <w:b/>
          <w:sz w:val="30"/>
          <w:szCs w:val="30"/>
          <w:lang w:val="en-US" w:eastAsia="zh-CN"/>
        </w:rPr>
        <w:t>）</w:t>
      </w:r>
    </w:p>
    <w:p>
      <w:pPr>
        <w:jc w:val="center"/>
        <w:rPr>
          <w:rFonts w:ascii="宋体" w:hAnsi="宋体"/>
          <w:sz w:val="30"/>
          <w:szCs w:val="30"/>
        </w:rPr>
      </w:pPr>
      <w:r>
        <w:rPr>
          <w:rFonts w:hint="eastAsia" w:ascii="宋体" w:hAnsi="宋体"/>
          <w:b/>
          <w:sz w:val="30"/>
          <w:szCs w:val="30"/>
        </w:rPr>
        <w:t>10kV高压线路</w:t>
      </w:r>
      <w:r>
        <w:rPr>
          <w:rFonts w:hint="eastAsia" w:ascii="宋体" w:hAnsi="宋体"/>
          <w:b/>
          <w:sz w:val="30"/>
          <w:szCs w:val="30"/>
          <w:lang w:val="en-US" w:eastAsia="zh-CN"/>
        </w:rPr>
        <w:t>改造</w:t>
      </w:r>
      <w:r>
        <w:rPr>
          <w:rFonts w:hint="eastAsia" w:ascii="宋体" w:hAnsi="宋体"/>
          <w:b/>
          <w:sz w:val="30"/>
          <w:szCs w:val="30"/>
        </w:rPr>
        <w:t>工程邀请招标方案及定标方法</w:t>
      </w:r>
    </w:p>
    <w:p>
      <w:pPr>
        <w:rPr>
          <w:sz w:val="28"/>
          <w:szCs w:val="28"/>
        </w:rPr>
      </w:pPr>
      <w:r>
        <w:rPr>
          <w:rFonts w:hint="eastAsia"/>
          <w:sz w:val="28"/>
          <w:szCs w:val="28"/>
        </w:rPr>
        <w:t>一、投标人资格：</w:t>
      </w:r>
    </w:p>
    <w:p>
      <w:pPr>
        <w:ind w:firstLine="560" w:firstLineChars="200"/>
        <w:rPr>
          <w:sz w:val="28"/>
          <w:szCs w:val="28"/>
        </w:rPr>
      </w:pPr>
      <w:r>
        <w:rPr>
          <w:sz w:val="28"/>
          <w:szCs w:val="28"/>
        </w:rPr>
        <w:t>1、</w:t>
      </w:r>
      <w:r>
        <w:rPr>
          <w:rFonts w:hint="eastAsia"/>
          <w:sz w:val="28"/>
          <w:szCs w:val="28"/>
        </w:rPr>
        <w:t>投标人必须具有独立承担民事责任能力的法人；</w:t>
      </w:r>
    </w:p>
    <w:p>
      <w:pPr>
        <w:ind w:firstLine="560" w:firstLineChars="200"/>
        <w:rPr>
          <w:sz w:val="28"/>
          <w:szCs w:val="28"/>
        </w:rPr>
      </w:pPr>
      <w:r>
        <w:rPr>
          <w:sz w:val="28"/>
          <w:szCs w:val="28"/>
        </w:rPr>
        <w:t>2、</w:t>
      </w:r>
      <w:r>
        <w:rPr>
          <w:rFonts w:hint="eastAsia"/>
          <w:sz w:val="28"/>
          <w:szCs w:val="28"/>
        </w:rPr>
        <w:t>具有承装(修、试)电力设施许可证五级以上证书；</w:t>
      </w:r>
    </w:p>
    <w:p>
      <w:pPr>
        <w:ind w:firstLine="560" w:firstLineChars="200"/>
        <w:rPr>
          <w:sz w:val="28"/>
          <w:szCs w:val="28"/>
        </w:rPr>
      </w:pPr>
      <w:r>
        <w:rPr>
          <w:sz w:val="28"/>
          <w:szCs w:val="28"/>
        </w:rPr>
        <w:t>3、</w:t>
      </w:r>
      <w:r>
        <w:rPr>
          <w:rFonts w:hint="eastAsia" w:ascii="宋体" w:hAnsi="宋体"/>
          <w:sz w:val="28"/>
          <w:szCs w:val="28"/>
        </w:rPr>
        <w:t>具有足够的能力来有效地履行合同。</w:t>
      </w:r>
    </w:p>
    <w:p>
      <w:pPr>
        <w:rPr>
          <w:sz w:val="28"/>
          <w:szCs w:val="28"/>
        </w:rPr>
      </w:pPr>
      <w:r>
        <w:rPr>
          <w:rFonts w:hint="eastAsia"/>
          <w:sz w:val="28"/>
          <w:szCs w:val="28"/>
        </w:rPr>
        <w:t>二、投标人须知：</w:t>
      </w:r>
    </w:p>
    <w:p>
      <w:pPr>
        <w:ind w:left="280" w:firstLine="560" w:firstLineChars="200"/>
        <w:rPr>
          <w:sz w:val="28"/>
          <w:szCs w:val="28"/>
        </w:rPr>
      </w:pPr>
      <w:r>
        <w:rPr>
          <w:sz w:val="28"/>
          <w:szCs w:val="28"/>
        </w:rPr>
        <w:t>1</w:t>
      </w:r>
      <w:r>
        <w:rPr>
          <w:rFonts w:hint="eastAsia"/>
          <w:sz w:val="28"/>
          <w:szCs w:val="28"/>
        </w:rPr>
        <w:t>、投标单位需提供营业执照、</w:t>
      </w:r>
      <w:r>
        <w:rPr>
          <w:rFonts w:hint="eastAsia"/>
          <w:sz w:val="28"/>
          <w:szCs w:val="28"/>
          <w:lang w:val="en-US" w:eastAsia="zh-CN"/>
        </w:rPr>
        <w:t>资质证书、</w:t>
      </w:r>
      <w:bookmarkStart w:id="1" w:name="_GoBack"/>
      <w:bookmarkEnd w:id="1"/>
      <w:r>
        <w:rPr>
          <w:rFonts w:hint="eastAsia"/>
          <w:sz w:val="28"/>
          <w:szCs w:val="28"/>
        </w:rPr>
        <w:t>法人身份证明书等证明资料的复印件，并加盖公章在开标前到现场报名，也可将报名资料即营业执照复印件、法人身份证复印件加盖公章后发至</w:t>
      </w:r>
      <w:r>
        <w:rPr>
          <w:sz w:val="28"/>
          <w:szCs w:val="28"/>
        </w:rPr>
        <w:t>meiyanzgs@163.com</w:t>
      </w:r>
      <w:r>
        <w:rPr>
          <w:rFonts w:hint="eastAsia"/>
          <w:sz w:val="28"/>
          <w:szCs w:val="28"/>
        </w:rPr>
        <w:t>，联系人：冯小姐</w:t>
      </w:r>
      <w:r>
        <w:rPr>
          <w:sz w:val="28"/>
          <w:szCs w:val="28"/>
        </w:rPr>
        <w:t xml:space="preserve"> </w:t>
      </w:r>
      <w:r>
        <w:rPr>
          <w:rFonts w:hint="eastAsia"/>
          <w:sz w:val="28"/>
          <w:szCs w:val="28"/>
        </w:rPr>
        <w:t>联系电话：</w:t>
      </w:r>
      <w:r>
        <w:rPr>
          <w:sz w:val="28"/>
          <w:szCs w:val="28"/>
        </w:rPr>
        <w:t xml:space="preserve">13823841987   </w:t>
      </w:r>
    </w:p>
    <w:p>
      <w:pPr>
        <w:ind w:left="280" w:firstLine="560" w:firstLineChars="200"/>
        <w:rPr>
          <w:sz w:val="28"/>
          <w:szCs w:val="28"/>
        </w:rPr>
      </w:pPr>
      <w:r>
        <w:rPr>
          <w:sz w:val="28"/>
          <w:szCs w:val="28"/>
        </w:rPr>
        <w:t>2</w:t>
      </w:r>
      <w:r>
        <w:rPr>
          <w:rFonts w:hint="eastAsia"/>
          <w:sz w:val="28"/>
          <w:szCs w:val="28"/>
        </w:rPr>
        <w:t>、保证金：人民币壹万元整（现金），报名时用信封装好，信封上加盖投标单位的公章，交给工作人员当面清点，定标后中标公司保证金转为履约保证金；未中标的投标人，待开标会结束后退还。</w:t>
      </w:r>
    </w:p>
    <w:p>
      <w:pPr>
        <w:ind w:left="280" w:firstLine="560" w:firstLineChars="200"/>
        <w:rPr>
          <w:sz w:val="28"/>
          <w:szCs w:val="28"/>
        </w:rPr>
      </w:pPr>
      <w:r>
        <w:rPr>
          <w:sz w:val="28"/>
          <w:szCs w:val="28"/>
        </w:rPr>
        <w:t>3</w:t>
      </w:r>
      <w:r>
        <w:rPr>
          <w:rFonts w:hint="eastAsia"/>
          <w:sz w:val="28"/>
          <w:szCs w:val="28"/>
        </w:rPr>
        <w:t>、开标时间：开标会定于</w:t>
      </w:r>
      <w:r>
        <w:rPr>
          <w:sz w:val="28"/>
          <w:szCs w:val="28"/>
        </w:rPr>
        <w:t>2020</w:t>
      </w:r>
      <w:r>
        <w:rPr>
          <w:rFonts w:hint="eastAsia"/>
          <w:sz w:val="28"/>
          <w:szCs w:val="28"/>
        </w:rPr>
        <w:t>年</w:t>
      </w:r>
      <w:r>
        <w:rPr>
          <w:rFonts w:hint="eastAsia"/>
          <w:sz w:val="28"/>
          <w:szCs w:val="28"/>
          <w:highlight w:val="yellow"/>
        </w:rPr>
        <w:t>5月1</w:t>
      </w:r>
      <w:r>
        <w:rPr>
          <w:rFonts w:hint="eastAsia"/>
          <w:sz w:val="28"/>
          <w:szCs w:val="28"/>
          <w:highlight w:val="yellow"/>
          <w:lang w:val="en-US" w:eastAsia="zh-CN"/>
        </w:rPr>
        <w:t>3</w:t>
      </w:r>
      <w:r>
        <w:rPr>
          <w:rFonts w:hint="eastAsia"/>
          <w:sz w:val="28"/>
          <w:szCs w:val="28"/>
          <w:highlight w:val="yellow"/>
        </w:rPr>
        <w:t>日10:00</w:t>
      </w:r>
      <w:r>
        <w:rPr>
          <w:rFonts w:hint="eastAsia"/>
          <w:sz w:val="28"/>
          <w:szCs w:val="28"/>
        </w:rPr>
        <w:t>在广东梅雁吉祥水电股份有限公司一楼小会议室；</w:t>
      </w:r>
    </w:p>
    <w:p>
      <w:pPr>
        <w:ind w:left="268" w:firstLine="560" w:firstLineChars="200"/>
        <w:rPr>
          <w:sz w:val="28"/>
          <w:szCs w:val="28"/>
        </w:rPr>
      </w:pPr>
      <w:r>
        <w:rPr>
          <w:sz w:val="28"/>
          <w:szCs w:val="28"/>
        </w:rPr>
        <w:t>4</w:t>
      </w:r>
      <w:r>
        <w:rPr>
          <w:rFonts w:hint="eastAsia"/>
          <w:sz w:val="28"/>
          <w:szCs w:val="28"/>
        </w:rPr>
        <w:t>、投标人需按照附表一《梅南江坪电站10kV高压线路抢修工程需求》完成本项目；</w:t>
      </w:r>
    </w:p>
    <w:p>
      <w:pPr>
        <w:ind w:left="280" w:firstLine="560" w:firstLineChars="200"/>
        <w:rPr>
          <w:sz w:val="28"/>
          <w:szCs w:val="28"/>
        </w:rPr>
      </w:pPr>
      <w:r>
        <w:rPr>
          <w:sz w:val="28"/>
          <w:szCs w:val="28"/>
        </w:rPr>
        <w:t>5</w:t>
      </w:r>
      <w:r>
        <w:rPr>
          <w:rFonts w:hint="eastAsia"/>
          <w:sz w:val="28"/>
          <w:szCs w:val="28"/>
        </w:rPr>
        <w:t>、投标人投标报价按附表二《梅南江坪电站10kV高压线路抢修工程报价表》填报，投标总价的最高限价为</w:t>
      </w:r>
      <w:r>
        <w:rPr>
          <w:rFonts w:hint="eastAsia"/>
          <w:sz w:val="28"/>
          <w:szCs w:val="28"/>
          <w:highlight w:val="yellow"/>
        </w:rPr>
        <w:t>￥27万元</w:t>
      </w:r>
      <w:r>
        <w:rPr>
          <w:rFonts w:hint="eastAsia"/>
          <w:sz w:val="28"/>
          <w:szCs w:val="28"/>
        </w:rPr>
        <w:t>（不含税），投标总价（不含税）低于最高限价方为有效报价；</w:t>
      </w:r>
    </w:p>
    <w:p>
      <w:pPr>
        <w:ind w:left="280" w:firstLine="560" w:firstLineChars="200"/>
        <w:jc w:val="left"/>
        <w:rPr>
          <w:sz w:val="28"/>
          <w:szCs w:val="28"/>
        </w:rPr>
      </w:pPr>
      <w:r>
        <w:rPr>
          <w:sz w:val="28"/>
          <w:szCs w:val="28"/>
        </w:rPr>
        <w:t>6</w:t>
      </w:r>
      <w:r>
        <w:rPr>
          <w:rFonts w:hint="eastAsia"/>
          <w:sz w:val="28"/>
          <w:szCs w:val="28"/>
        </w:rPr>
        <w:t>、投标单位按照附表二的报价表填报好后，用信封密封并加盖公章后交送招标工作人员；</w:t>
      </w:r>
    </w:p>
    <w:p>
      <w:pPr>
        <w:rPr>
          <w:sz w:val="28"/>
          <w:szCs w:val="28"/>
        </w:rPr>
      </w:pPr>
      <w:r>
        <w:rPr>
          <w:rFonts w:hint="eastAsia"/>
          <w:sz w:val="28"/>
          <w:szCs w:val="28"/>
        </w:rPr>
        <w:t>三、评审及定标方法：</w:t>
      </w:r>
    </w:p>
    <w:p>
      <w:pPr>
        <w:ind w:firstLine="560" w:firstLineChars="200"/>
        <w:rPr>
          <w:rFonts w:ascii="宋体"/>
          <w:sz w:val="28"/>
          <w:szCs w:val="28"/>
        </w:rPr>
      </w:pPr>
      <w:r>
        <w:rPr>
          <w:sz w:val="28"/>
          <w:szCs w:val="28"/>
        </w:rPr>
        <w:t>1</w:t>
      </w:r>
      <w:r>
        <w:rPr>
          <w:rFonts w:hint="eastAsia"/>
          <w:sz w:val="28"/>
          <w:szCs w:val="28"/>
        </w:rPr>
        <w:t>、本次邀请招标采用</w:t>
      </w:r>
      <w:r>
        <w:rPr>
          <w:rFonts w:hint="eastAsia"/>
          <w:b/>
          <w:bCs/>
          <w:sz w:val="28"/>
          <w:szCs w:val="28"/>
        </w:rPr>
        <w:t>最低评标价法，</w:t>
      </w:r>
      <w:r>
        <w:rPr>
          <w:rFonts w:hint="eastAsia" w:ascii="宋体" w:hAnsi="宋体"/>
          <w:sz w:val="28"/>
          <w:szCs w:val="28"/>
        </w:rPr>
        <w:t>投标人按照附表二《</w:t>
      </w:r>
      <w:r>
        <w:rPr>
          <w:rFonts w:hint="eastAsia"/>
          <w:sz w:val="28"/>
          <w:szCs w:val="28"/>
        </w:rPr>
        <w:t>梅南江坪电站10kV高压线路抢修工程报价表</w:t>
      </w:r>
      <w:r>
        <w:rPr>
          <w:rFonts w:hint="eastAsia" w:ascii="宋体" w:hAnsi="宋体"/>
          <w:sz w:val="28"/>
          <w:szCs w:val="28"/>
        </w:rPr>
        <w:t>》填报，</w:t>
      </w:r>
      <w:r>
        <w:rPr>
          <w:rFonts w:hint="eastAsia" w:ascii="宋体" w:hAnsi="宋体" w:cs="宋体"/>
          <w:sz w:val="28"/>
          <w:szCs w:val="28"/>
          <w:shd w:val="clear" w:color="auto" w:fill="FFFFFF"/>
        </w:rPr>
        <w:t>在满足</w:t>
      </w:r>
      <w:r>
        <w:fldChar w:fldCharType="begin"/>
      </w:r>
      <w:r>
        <w:instrText xml:space="preserve"> HYPERLINK "http://www.so.com/s?q=%E6%8B%9B%E6%A0%87%E6%96%87%E4%BB%B6&amp;ie=utf-8&amp;src=internal_wenda_recommend_textn" \t "https://wenda.so.com/q/_blank" </w:instrText>
      </w:r>
      <w:r>
        <w:fldChar w:fldCharType="separate"/>
      </w:r>
      <w:r>
        <w:rPr>
          <w:rStyle w:val="14"/>
          <w:rFonts w:hint="eastAsia" w:ascii="宋体" w:hAnsi="宋体" w:cs="宋体"/>
          <w:color w:val="auto"/>
          <w:sz w:val="28"/>
          <w:szCs w:val="28"/>
          <w:u w:val="none"/>
          <w:shd w:val="clear" w:color="auto" w:fill="FFFFFF"/>
        </w:rPr>
        <w:t>招标文件</w:t>
      </w:r>
      <w:r>
        <w:rPr>
          <w:rStyle w:val="14"/>
          <w:rFonts w:hint="eastAsia" w:ascii="宋体" w:hAnsi="宋体" w:cs="宋体"/>
          <w:color w:val="auto"/>
          <w:sz w:val="28"/>
          <w:szCs w:val="28"/>
          <w:u w:val="none"/>
          <w:shd w:val="clear" w:color="auto" w:fill="FFFFFF"/>
        </w:rPr>
        <w:fldChar w:fldCharType="end"/>
      </w:r>
      <w:r>
        <w:rPr>
          <w:rFonts w:hint="eastAsia" w:ascii="宋体" w:hAnsi="宋体" w:cs="宋体"/>
          <w:sz w:val="28"/>
          <w:szCs w:val="28"/>
          <w:shd w:val="clear" w:color="auto" w:fill="FFFFFF"/>
        </w:rPr>
        <w:t>实质性要求</w:t>
      </w:r>
      <w:r>
        <w:fldChar w:fldCharType="begin"/>
      </w:r>
      <w:r>
        <w:instrText xml:space="preserve"> HYPERLINK "http://www.so.com/s?q=%E5%89%8D%E6%8F%90&amp;ie=utf-8&amp;src=internal_wenda_recommend_textn" \t "https://wenda.so.com/q/_blank" </w:instrText>
      </w:r>
      <w:r>
        <w:fldChar w:fldCharType="separate"/>
      </w:r>
      <w:r>
        <w:rPr>
          <w:rStyle w:val="14"/>
          <w:rFonts w:hint="eastAsia" w:ascii="宋体" w:hAnsi="宋体" w:cs="宋体"/>
          <w:color w:val="auto"/>
          <w:sz w:val="28"/>
          <w:szCs w:val="28"/>
          <w:u w:val="none"/>
          <w:shd w:val="clear" w:color="auto" w:fill="FFFFFF"/>
        </w:rPr>
        <w:t>前提</w:t>
      </w:r>
      <w:r>
        <w:rPr>
          <w:rStyle w:val="14"/>
          <w:rFonts w:hint="eastAsia" w:ascii="宋体" w:hAnsi="宋体" w:cs="宋体"/>
          <w:color w:val="auto"/>
          <w:sz w:val="28"/>
          <w:szCs w:val="28"/>
          <w:u w:val="none"/>
          <w:shd w:val="clear" w:color="auto" w:fill="FFFFFF"/>
        </w:rPr>
        <w:fldChar w:fldCharType="end"/>
      </w:r>
      <w:r>
        <w:rPr>
          <w:rFonts w:hint="eastAsia" w:ascii="宋体" w:hAnsi="宋体" w:cs="宋体"/>
          <w:sz w:val="28"/>
          <w:szCs w:val="28"/>
          <w:shd w:val="clear" w:color="auto" w:fill="FFFFFF"/>
        </w:rPr>
        <w:t>下，</w:t>
      </w:r>
      <w:r>
        <w:rPr>
          <w:rFonts w:hint="eastAsia" w:ascii="Arial" w:hAnsi="Arial" w:cs="Arial"/>
          <w:sz w:val="28"/>
          <w:szCs w:val="28"/>
          <w:shd w:val="clear" w:color="auto" w:fill="FFFFFF"/>
        </w:rPr>
        <w:t>按不含税报价从低到高进行排序，</w:t>
      </w:r>
      <w:r>
        <w:rPr>
          <w:rFonts w:hint="eastAsia" w:ascii="宋体" w:hAnsi="宋体" w:cs="宋体"/>
          <w:sz w:val="28"/>
          <w:szCs w:val="28"/>
          <w:shd w:val="clear" w:color="auto" w:fill="FFFFFF"/>
        </w:rPr>
        <w:t>最低报价</w:t>
      </w:r>
      <w:r>
        <w:rPr>
          <w:rFonts w:hint="eastAsia" w:ascii="Arial" w:hAnsi="Arial" w:cs="Arial"/>
          <w:sz w:val="28"/>
          <w:szCs w:val="28"/>
          <w:shd w:val="clear" w:color="auto" w:fill="FFFFFF"/>
        </w:rPr>
        <w:t>（不含税）</w:t>
      </w:r>
      <w:r>
        <w:rPr>
          <w:rFonts w:hint="eastAsia" w:ascii="宋体" w:hAnsi="宋体" w:cs="宋体"/>
          <w:sz w:val="28"/>
          <w:szCs w:val="28"/>
          <w:shd w:val="clear" w:color="auto" w:fill="FFFFFF"/>
        </w:rPr>
        <w:t>的</w:t>
      </w:r>
      <w:r>
        <w:fldChar w:fldCharType="begin"/>
      </w:r>
      <w:r>
        <w:instrText xml:space="preserve"> HYPERLINK "http://www.so.com/s?q=%E6%8A%95%E6%A0%87%E4%BA%BA&amp;ie=utf-8&amp;src=internal_wenda_recommend_textn" \t "https://wenda.so.com/q/_blank" </w:instrText>
      </w:r>
      <w:r>
        <w:fldChar w:fldCharType="separate"/>
      </w:r>
      <w:r>
        <w:rPr>
          <w:rStyle w:val="14"/>
          <w:rFonts w:hint="eastAsia" w:ascii="宋体" w:hAnsi="宋体" w:cs="宋体"/>
          <w:color w:val="auto"/>
          <w:sz w:val="28"/>
          <w:szCs w:val="28"/>
          <w:u w:val="none"/>
          <w:shd w:val="clear" w:color="auto" w:fill="FFFFFF"/>
        </w:rPr>
        <w:t>投标人</w:t>
      </w:r>
      <w:r>
        <w:rPr>
          <w:rStyle w:val="14"/>
          <w:rFonts w:hint="eastAsia" w:ascii="宋体" w:hAnsi="宋体" w:cs="宋体"/>
          <w:color w:val="auto"/>
          <w:sz w:val="28"/>
          <w:szCs w:val="28"/>
          <w:u w:val="none"/>
          <w:shd w:val="clear" w:color="auto" w:fill="FFFFFF"/>
        </w:rPr>
        <w:fldChar w:fldCharType="end"/>
      </w:r>
      <w:r>
        <w:rPr>
          <w:rFonts w:hint="eastAsia" w:ascii="Arial" w:hAnsi="Arial" w:cs="Arial"/>
          <w:sz w:val="28"/>
          <w:szCs w:val="28"/>
          <w:shd w:val="clear" w:color="auto" w:fill="FFFFFF"/>
        </w:rPr>
        <w:t>得分最高，以此类推，</w:t>
      </w:r>
      <w:r>
        <w:rPr>
          <w:rFonts w:hint="eastAsia" w:ascii="宋体" w:hAnsi="宋体"/>
          <w:sz w:val="28"/>
          <w:szCs w:val="28"/>
        </w:rPr>
        <w:t>投标总价（不含税）最低者</w:t>
      </w:r>
      <w:r>
        <w:rPr>
          <w:rFonts w:hint="eastAsia" w:ascii="宋体" w:hAnsi="宋体" w:cs="宋体"/>
          <w:sz w:val="28"/>
          <w:szCs w:val="28"/>
          <w:shd w:val="clear" w:color="auto" w:fill="FFFFFF"/>
        </w:rPr>
        <w:t>作为</w:t>
      </w:r>
      <w:r>
        <w:rPr>
          <w:rFonts w:hint="eastAsia" w:ascii="Arial" w:hAnsi="Arial" w:cs="Arial"/>
          <w:sz w:val="28"/>
          <w:szCs w:val="28"/>
          <w:shd w:val="clear" w:color="auto" w:fill="FFFFFF"/>
        </w:rPr>
        <w:t>第一</w:t>
      </w:r>
      <w:r>
        <w:fldChar w:fldCharType="begin"/>
      </w:r>
      <w:r>
        <w:instrText xml:space="preserve"> HYPERLINK "http://www.so.com/s?q=%E4%B8%AD%E6%A0%87%E5%80%99%E9%80%89%E4%BE%9B%E5%BA%94%E5%95%86&amp;ie=utf-8&amp;src=internal_wenda_recommend_textn" \t "https://wenda.so.com/q/_blank" </w:instrText>
      </w:r>
      <w:r>
        <w:fldChar w:fldCharType="separate"/>
      </w:r>
      <w:r>
        <w:rPr>
          <w:rStyle w:val="14"/>
          <w:rFonts w:hint="eastAsia" w:ascii="宋体" w:hAnsi="宋体" w:cs="宋体"/>
          <w:color w:val="auto"/>
          <w:sz w:val="28"/>
          <w:szCs w:val="28"/>
          <w:u w:val="none"/>
          <w:shd w:val="clear" w:color="auto" w:fill="FFFFFF"/>
        </w:rPr>
        <w:t>中标候选</w:t>
      </w:r>
      <w:r>
        <w:rPr>
          <w:rStyle w:val="14"/>
          <w:rFonts w:hint="eastAsia" w:ascii="Arial" w:hAnsi="Arial" w:cs="Arial"/>
          <w:color w:val="auto"/>
          <w:sz w:val="28"/>
          <w:szCs w:val="28"/>
          <w:u w:val="none"/>
          <w:shd w:val="clear" w:color="auto" w:fill="FFFFFF"/>
        </w:rPr>
        <w:t>人</w:t>
      </w:r>
      <w:r>
        <w:rPr>
          <w:rStyle w:val="14"/>
          <w:rFonts w:hint="eastAsia" w:ascii="Arial" w:hAnsi="Arial" w:cs="Arial"/>
          <w:color w:val="auto"/>
          <w:sz w:val="28"/>
          <w:szCs w:val="28"/>
          <w:u w:val="none"/>
          <w:shd w:val="clear" w:color="auto" w:fill="FFFFFF"/>
        </w:rPr>
        <w:fldChar w:fldCharType="end"/>
      </w:r>
      <w:r>
        <w:rPr>
          <w:rFonts w:hint="eastAsia" w:ascii="Arial" w:hAnsi="Arial" w:cs="Arial"/>
          <w:sz w:val="28"/>
          <w:szCs w:val="28"/>
          <w:shd w:val="clear" w:color="auto" w:fill="FFFFFF"/>
        </w:rPr>
        <w:t>，</w:t>
      </w:r>
      <w:r>
        <w:rPr>
          <w:rFonts w:hint="eastAsia" w:ascii="宋体" w:hAnsi="宋体" w:cs="宋体"/>
          <w:sz w:val="28"/>
          <w:szCs w:val="28"/>
        </w:rPr>
        <w:t>报价相同者，抽签决定中标候选人的排序</w:t>
      </w:r>
      <w:r>
        <w:rPr>
          <w:rFonts w:hint="eastAsia" w:ascii="宋体" w:hAnsi="宋体"/>
          <w:sz w:val="28"/>
          <w:szCs w:val="28"/>
        </w:rPr>
        <w:t>。表中的报价，按照：各类单价报价×数量</w:t>
      </w:r>
      <w:r>
        <w:rPr>
          <w:rFonts w:ascii="宋体" w:hAnsi="宋体"/>
          <w:sz w:val="28"/>
          <w:szCs w:val="28"/>
        </w:rPr>
        <w:t>=</w:t>
      </w:r>
      <w:r>
        <w:rPr>
          <w:rFonts w:hint="eastAsia" w:ascii="宋体" w:hAnsi="宋体"/>
          <w:sz w:val="28"/>
          <w:szCs w:val="28"/>
        </w:rPr>
        <w:t>合计，按表中各项合计价相加得出的投标总价（不含税）进行比较，投标总价最低者为第一中标候选人。</w:t>
      </w:r>
    </w:p>
    <w:p>
      <w:pPr>
        <w:rPr>
          <w:rFonts w:ascii="宋体"/>
          <w:sz w:val="28"/>
          <w:szCs w:val="28"/>
        </w:rPr>
      </w:pPr>
      <w:r>
        <w:rPr>
          <w:rFonts w:hint="eastAsia" w:ascii="宋体" w:hAnsi="宋体"/>
          <w:sz w:val="28"/>
          <w:szCs w:val="28"/>
        </w:rPr>
        <w:t>四、合同签订及工期：</w:t>
      </w:r>
    </w:p>
    <w:p>
      <w:pPr>
        <w:ind w:firstLine="560" w:firstLineChars="200"/>
        <w:jc w:val="left"/>
        <w:rPr>
          <w:rFonts w:ascii="宋体"/>
          <w:sz w:val="28"/>
          <w:szCs w:val="28"/>
        </w:rPr>
      </w:pPr>
      <w:r>
        <w:rPr>
          <w:rFonts w:ascii="宋体" w:hAnsi="宋体"/>
          <w:sz w:val="28"/>
          <w:szCs w:val="28"/>
        </w:rPr>
        <w:t>1</w:t>
      </w:r>
      <w:r>
        <w:rPr>
          <w:rFonts w:hint="eastAsia" w:ascii="宋体" w:hAnsi="宋体"/>
          <w:sz w:val="28"/>
          <w:szCs w:val="28"/>
        </w:rPr>
        <w:t>、定标后，中标单位</w:t>
      </w:r>
      <w:r>
        <w:rPr>
          <w:rFonts w:ascii="宋体" w:hAnsi="宋体"/>
          <w:sz w:val="28"/>
          <w:szCs w:val="28"/>
        </w:rPr>
        <w:t>5</w:t>
      </w:r>
      <w:r>
        <w:rPr>
          <w:rFonts w:hint="eastAsia" w:ascii="宋体" w:hAnsi="宋体"/>
          <w:sz w:val="28"/>
          <w:szCs w:val="28"/>
        </w:rPr>
        <w:t>个工作日内与招标单位签订合同；</w:t>
      </w:r>
    </w:p>
    <w:p>
      <w:pPr>
        <w:ind w:firstLine="560" w:firstLineChars="200"/>
        <w:jc w:val="left"/>
        <w:rPr>
          <w:rFonts w:hint="eastAsia" w:ascii="宋体" w:eastAsia="宋体"/>
          <w:sz w:val="28"/>
          <w:szCs w:val="28"/>
          <w:lang w:eastAsia="zh-CN"/>
        </w:rPr>
      </w:pPr>
      <w:r>
        <w:rPr>
          <w:rFonts w:ascii="宋体" w:hAnsi="宋体"/>
          <w:sz w:val="28"/>
          <w:szCs w:val="28"/>
        </w:rPr>
        <w:t>2</w:t>
      </w:r>
      <w:r>
        <w:rPr>
          <w:rFonts w:hint="eastAsia" w:ascii="宋体" w:hAnsi="宋体"/>
          <w:sz w:val="28"/>
          <w:szCs w:val="28"/>
        </w:rPr>
        <w:t>、合同工期：签订合同，供电批准停电后，</w:t>
      </w:r>
      <w:r>
        <w:rPr>
          <w:rFonts w:hint="eastAsia" w:ascii="宋体" w:hAnsi="宋体"/>
          <w:sz w:val="28"/>
          <w:szCs w:val="28"/>
          <w:highlight w:val="yellow"/>
          <w:lang w:val="en-US" w:eastAsia="zh-CN"/>
        </w:rPr>
        <w:t>20</w:t>
      </w:r>
      <w:r>
        <w:rPr>
          <w:rFonts w:hint="eastAsia" w:ascii="宋体" w:hAnsi="宋体"/>
          <w:sz w:val="28"/>
          <w:szCs w:val="28"/>
          <w:highlight w:val="yellow"/>
        </w:rPr>
        <w:t>天内完工</w:t>
      </w:r>
      <w:r>
        <w:rPr>
          <w:rFonts w:hint="eastAsia" w:ascii="宋体" w:hAnsi="宋体"/>
          <w:sz w:val="28"/>
          <w:szCs w:val="28"/>
          <w:highlight w:val="yellow"/>
          <w:lang w:eastAsia="zh-CN"/>
        </w:rPr>
        <w:t>（</w:t>
      </w:r>
      <w:r>
        <w:rPr>
          <w:rFonts w:hint="eastAsia" w:ascii="宋体" w:hAnsi="宋体"/>
          <w:sz w:val="28"/>
          <w:szCs w:val="28"/>
          <w:highlight w:val="yellow"/>
          <w:lang w:val="en-US" w:eastAsia="zh-CN"/>
        </w:rPr>
        <w:t>如因天气原因工期顺延</w:t>
      </w:r>
      <w:r>
        <w:rPr>
          <w:rFonts w:hint="eastAsia" w:ascii="宋体" w:hAnsi="宋体"/>
          <w:sz w:val="28"/>
          <w:szCs w:val="28"/>
          <w:highlight w:val="yellow"/>
          <w:lang w:eastAsia="zh-CN"/>
        </w:rPr>
        <w:t>）</w:t>
      </w:r>
      <w:r>
        <w:rPr>
          <w:rFonts w:hint="eastAsia" w:ascii="宋体" w:hAnsi="宋体"/>
          <w:sz w:val="28"/>
          <w:szCs w:val="28"/>
        </w:rPr>
        <w:t>。</w:t>
      </w:r>
    </w:p>
    <w:p>
      <w:pPr>
        <w:jc w:val="left"/>
        <w:rPr>
          <w:rFonts w:ascii="宋体"/>
          <w:sz w:val="28"/>
          <w:szCs w:val="28"/>
        </w:rPr>
      </w:pPr>
      <w:r>
        <w:rPr>
          <w:rFonts w:hint="eastAsia" w:ascii="宋体" w:hAnsi="宋体"/>
          <w:sz w:val="28"/>
          <w:szCs w:val="28"/>
        </w:rPr>
        <w:t>五、合同费用支付及结算：</w:t>
      </w:r>
    </w:p>
    <w:p>
      <w:pPr>
        <w:ind w:firstLine="560" w:firstLineChars="200"/>
        <w:jc w:val="left"/>
        <w:rPr>
          <w:rFonts w:ascii="宋体"/>
          <w:sz w:val="28"/>
          <w:szCs w:val="28"/>
        </w:rPr>
      </w:pPr>
      <w:r>
        <w:rPr>
          <w:rFonts w:ascii="宋体" w:hAnsi="宋体"/>
          <w:sz w:val="28"/>
          <w:szCs w:val="28"/>
        </w:rPr>
        <w:t>1.</w:t>
      </w:r>
      <w:r>
        <w:rPr>
          <w:rFonts w:hint="eastAsia" w:ascii="宋体" w:hAnsi="宋体"/>
          <w:sz w:val="28"/>
          <w:szCs w:val="28"/>
        </w:rPr>
        <w:t>合同签订后</w:t>
      </w:r>
      <w:r>
        <w:rPr>
          <w:rFonts w:ascii="宋体" w:hAnsi="宋体"/>
          <w:sz w:val="28"/>
          <w:szCs w:val="28"/>
        </w:rPr>
        <w:t>10</w:t>
      </w:r>
      <w:r>
        <w:rPr>
          <w:rFonts w:hint="eastAsia" w:ascii="宋体" w:hAnsi="宋体"/>
          <w:sz w:val="28"/>
          <w:szCs w:val="28"/>
        </w:rPr>
        <w:t>个工作日内预付</w:t>
      </w:r>
      <w:r>
        <w:rPr>
          <w:rFonts w:ascii="宋体" w:hAnsi="宋体"/>
          <w:sz w:val="28"/>
          <w:szCs w:val="28"/>
        </w:rPr>
        <w:t>30%</w:t>
      </w:r>
      <w:r>
        <w:rPr>
          <w:rFonts w:hint="eastAsia" w:ascii="宋体" w:hAnsi="宋体"/>
          <w:sz w:val="28"/>
          <w:szCs w:val="28"/>
        </w:rPr>
        <w:t>的合同款；</w:t>
      </w:r>
    </w:p>
    <w:p>
      <w:pPr>
        <w:ind w:firstLine="560" w:firstLineChars="200"/>
        <w:jc w:val="left"/>
        <w:rPr>
          <w:rFonts w:ascii="宋体"/>
          <w:sz w:val="28"/>
          <w:szCs w:val="28"/>
        </w:rPr>
      </w:pPr>
      <w:r>
        <w:rPr>
          <w:rFonts w:ascii="宋体" w:hAnsi="宋体"/>
          <w:sz w:val="28"/>
          <w:szCs w:val="28"/>
        </w:rPr>
        <w:t xml:space="preserve">2. </w:t>
      </w:r>
      <w:r>
        <w:rPr>
          <w:rFonts w:hint="eastAsia" w:ascii="宋体" w:hAnsi="宋体"/>
          <w:sz w:val="28"/>
          <w:szCs w:val="28"/>
        </w:rPr>
        <w:t>工程完工验收合格并结算后</w:t>
      </w:r>
      <w:r>
        <w:rPr>
          <w:rFonts w:ascii="宋体" w:hAnsi="宋体"/>
          <w:sz w:val="28"/>
          <w:szCs w:val="28"/>
        </w:rPr>
        <w:t>10</w:t>
      </w:r>
      <w:r>
        <w:rPr>
          <w:rFonts w:hint="eastAsia" w:ascii="宋体" w:hAnsi="宋体"/>
          <w:sz w:val="28"/>
          <w:szCs w:val="28"/>
        </w:rPr>
        <w:t>个工作日内支付合同结算款至</w:t>
      </w:r>
      <w:r>
        <w:rPr>
          <w:rFonts w:ascii="宋体" w:hAnsi="宋体"/>
          <w:sz w:val="28"/>
          <w:szCs w:val="28"/>
        </w:rPr>
        <w:t>95%</w:t>
      </w:r>
      <w:r>
        <w:rPr>
          <w:rFonts w:hint="eastAsia" w:ascii="宋体" w:hAnsi="宋体"/>
          <w:sz w:val="28"/>
          <w:szCs w:val="28"/>
        </w:rPr>
        <w:t>及履约保证金。</w:t>
      </w:r>
    </w:p>
    <w:p>
      <w:pPr>
        <w:ind w:firstLine="560" w:firstLineChars="200"/>
        <w:jc w:val="left"/>
        <w:rPr>
          <w:rFonts w:ascii="宋体"/>
          <w:sz w:val="28"/>
          <w:szCs w:val="28"/>
        </w:rPr>
      </w:pPr>
      <w:r>
        <w:rPr>
          <w:rFonts w:ascii="宋体" w:hAnsi="宋体"/>
          <w:sz w:val="28"/>
          <w:szCs w:val="28"/>
        </w:rPr>
        <w:t>3.</w:t>
      </w:r>
      <w:r>
        <w:rPr>
          <w:rFonts w:hint="eastAsia" w:ascii="宋体" w:hAnsi="宋体"/>
          <w:sz w:val="28"/>
          <w:szCs w:val="28"/>
        </w:rPr>
        <w:t>工程结算款的</w:t>
      </w:r>
      <w:r>
        <w:rPr>
          <w:rFonts w:ascii="宋体" w:hAnsi="宋体"/>
          <w:sz w:val="28"/>
          <w:szCs w:val="28"/>
        </w:rPr>
        <w:t>5%</w:t>
      </w:r>
      <w:r>
        <w:rPr>
          <w:rFonts w:hint="eastAsia" w:ascii="宋体" w:hAnsi="宋体"/>
          <w:sz w:val="28"/>
          <w:szCs w:val="28"/>
        </w:rPr>
        <w:t>作为质保金，本工程验收结算后一年内没有发生质量问题，次月内支付。</w:t>
      </w:r>
    </w:p>
    <w:p>
      <w:pPr>
        <w:jc w:val="right"/>
        <w:rPr>
          <w:rFonts w:ascii="宋体"/>
          <w:sz w:val="28"/>
          <w:szCs w:val="28"/>
        </w:rPr>
      </w:pPr>
    </w:p>
    <w:p>
      <w:pPr>
        <w:jc w:val="right"/>
        <w:rPr>
          <w:rFonts w:ascii="宋体"/>
          <w:sz w:val="28"/>
          <w:szCs w:val="28"/>
        </w:rPr>
      </w:pPr>
    </w:p>
    <w:p>
      <w:pPr>
        <w:jc w:val="right"/>
        <w:rPr>
          <w:rFonts w:ascii="宋体"/>
          <w:sz w:val="28"/>
          <w:szCs w:val="28"/>
        </w:rPr>
      </w:pPr>
    </w:p>
    <w:p>
      <w:pPr>
        <w:jc w:val="center"/>
        <w:rPr>
          <w:rFonts w:hint="eastAsia" w:ascii="宋体" w:hAnsi="宋体"/>
          <w:b/>
          <w:sz w:val="30"/>
          <w:szCs w:val="30"/>
          <w:lang w:val="en-US" w:eastAsia="zh-CN"/>
        </w:rPr>
      </w:pPr>
      <w:r>
        <w:rPr>
          <w:sz w:val="28"/>
          <w:szCs w:val="28"/>
        </w:rPr>
        <w:t xml:space="preserve">                             </w:t>
      </w:r>
      <w:r>
        <w:rPr>
          <w:rFonts w:hint="eastAsia" w:ascii="宋体" w:hAnsi="宋体"/>
          <w:b/>
          <w:sz w:val="30"/>
          <w:szCs w:val="30"/>
          <w:lang w:val="en-US" w:eastAsia="zh-CN"/>
        </w:rPr>
        <w:t>梅州市梅县区新城供水有限公司</w:t>
      </w:r>
    </w:p>
    <w:p>
      <w:pPr>
        <w:ind w:left="6720" w:hanging="6720" w:hangingChars="2400"/>
        <w:jc w:val="left"/>
        <w:rPr>
          <w:rFonts w:ascii="宋体"/>
          <w:sz w:val="28"/>
          <w:szCs w:val="28"/>
        </w:rPr>
      </w:pPr>
      <w:r>
        <w:rPr>
          <w:rFonts w:hint="eastAsia"/>
          <w:sz w:val="28"/>
          <w:szCs w:val="28"/>
        </w:rPr>
        <w:t xml:space="preserve">                                                                                                          </w:t>
      </w:r>
      <w:r>
        <w:rPr>
          <w:rFonts w:ascii="宋体" w:hAnsi="宋体"/>
          <w:sz w:val="28"/>
          <w:szCs w:val="28"/>
        </w:rPr>
        <w:t>2020</w:t>
      </w:r>
      <w:r>
        <w:rPr>
          <w:rFonts w:hint="eastAsia" w:ascii="宋体" w:hAnsi="宋体"/>
          <w:sz w:val="28"/>
          <w:szCs w:val="28"/>
        </w:rPr>
        <w:t>年5月7日</w:t>
      </w:r>
      <w:r>
        <w:rPr>
          <w:rFonts w:ascii="宋体" w:hAnsi="宋体"/>
          <w:sz w:val="28"/>
          <w:szCs w:val="28"/>
        </w:rPr>
        <w:t xml:space="preserve">                                                                        </w:t>
      </w:r>
      <w:r>
        <w:rPr>
          <w:sz w:val="28"/>
          <w:szCs w:val="28"/>
        </w:rPr>
        <w:t xml:space="preserve">                                         </w:t>
      </w:r>
      <w:r>
        <w:rPr>
          <w:rFonts w:ascii="宋体"/>
          <w:sz w:val="28"/>
          <w:szCs w:val="28"/>
        </w:rPr>
        <w:br w:type="page"/>
      </w:r>
    </w:p>
    <w:p>
      <w:pPr>
        <w:jc w:val="center"/>
        <w:rPr>
          <w:rFonts w:hint="eastAsia" w:ascii="宋体" w:hAnsi="宋体"/>
          <w:b/>
          <w:sz w:val="30"/>
          <w:szCs w:val="30"/>
          <w:lang w:val="en-US" w:eastAsia="zh-CN"/>
        </w:rPr>
      </w:pPr>
      <w:r>
        <w:rPr>
          <w:rFonts w:hint="eastAsia"/>
          <w:b/>
          <w:sz w:val="30"/>
          <w:szCs w:val="30"/>
        </w:rPr>
        <w:t>附表一：</w:t>
      </w:r>
      <w:r>
        <w:rPr>
          <w:rFonts w:hint="eastAsia" w:ascii="宋体" w:hAnsi="宋体"/>
          <w:b/>
          <w:sz w:val="30"/>
          <w:szCs w:val="30"/>
          <w:lang w:val="en-US" w:eastAsia="zh-CN"/>
        </w:rPr>
        <w:t>梅州市梅县区新城供水有限公司（</w:t>
      </w:r>
      <w:r>
        <w:rPr>
          <w:rFonts w:hint="eastAsia" w:ascii="宋体" w:hAnsi="宋体"/>
          <w:b/>
          <w:sz w:val="30"/>
          <w:szCs w:val="30"/>
        </w:rPr>
        <w:t>梅南江坪电站</w:t>
      </w:r>
      <w:r>
        <w:rPr>
          <w:rFonts w:hint="eastAsia" w:ascii="宋体" w:hAnsi="宋体"/>
          <w:b/>
          <w:sz w:val="30"/>
          <w:szCs w:val="30"/>
          <w:lang w:val="en-US" w:eastAsia="zh-CN"/>
        </w:rPr>
        <w:t>）</w:t>
      </w:r>
    </w:p>
    <w:p>
      <w:pPr>
        <w:jc w:val="center"/>
        <w:rPr>
          <w:b/>
          <w:sz w:val="30"/>
          <w:szCs w:val="30"/>
        </w:rPr>
      </w:pPr>
      <w:r>
        <w:rPr>
          <w:rFonts w:hint="eastAsia"/>
          <w:b/>
          <w:sz w:val="30"/>
          <w:szCs w:val="30"/>
        </w:rPr>
        <w:t>10kV高压线路</w:t>
      </w:r>
      <w:r>
        <w:rPr>
          <w:rFonts w:hint="eastAsia"/>
          <w:b/>
          <w:sz w:val="30"/>
          <w:szCs w:val="30"/>
          <w:lang w:val="en-US" w:eastAsia="zh-CN"/>
        </w:rPr>
        <w:t>改造</w:t>
      </w:r>
      <w:r>
        <w:rPr>
          <w:rFonts w:hint="eastAsia"/>
          <w:b/>
          <w:sz w:val="30"/>
          <w:szCs w:val="30"/>
        </w:rPr>
        <w:t>工程需求：</w:t>
      </w:r>
    </w:p>
    <w:p>
      <w:pPr>
        <w:rPr>
          <w:rFonts w:ascii="宋体"/>
          <w:b/>
          <w:sz w:val="28"/>
          <w:szCs w:val="28"/>
        </w:rPr>
      </w:pPr>
      <w:r>
        <w:rPr>
          <w:rFonts w:hint="eastAsia" w:ascii="宋体" w:hAnsi="宋体"/>
          <w:b/>
          <w:sz w:val="28"/>
          <w:szCs w:val="28"/>
        </w:rPr>
        <w:t>一、项目背景及存在问题：</w:t>
      </w:r>
    </w:p>
    <w:p>
      <w:pPr>
        <w:spacing w:line="360" w:lineRule="exact"/>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梅南江坪水电站输变线路因年久（1979年至今），多处电线杆残旧，存在横向和纵向裂纹，电线杆倾斜，对地安全距离不足，拉线、横担、角铁锈蚀严重，造成单片悬式运行，金线瓷瓶绝缘老化，部分瓷瓶有污闪，导线残旧，驳接头过多，部分挡距线间安全距离不足，输变线路大部分松股，断股等，导致2020年2月份至今多次跳闸，存在严重安全隐患。</w:t>
      </w:r>
    </w:p>
    <w:p>
      <w:pPr>
        <w:numPr>
          <w:ilvl w:val="0"/>
          <w:numId w:val="1"/>
        </w:numPr>
        <w:jc w:val="center"/>
        <w:rPr>
          <w:rFonts w:hint="eastAsia" w:ascii="宋体" w:hAnsi="宋体"/>
          <w:b/>
          <w:sz w:val="30"/>
          <w:szCs w:val="30"/>
          <w:lang w:val="en-US" w:eastAsia="zh-CN"/>
        </w:rPr>
      </w:pPr>
      <w:r>
        <w:rPr>
          <w:rFonts w:hint="eastAsia" w:ascii="宋体" w:hAnsi="宋体"/>
          <w:b/>
          <w:sz w:val="30"/>
          <w:szCs w:val="30"/>
          <w:lang w:val="en-US" w:eastAsia="zh-CN"/>
        </w:rPr>
        <w:t>梅州市梅县区新城供水有限公司（</w:t>
      </w:r>
      <w:r>
        <w:rPr>
          <w:rFonts w:hint="eastAsia" w:ascii="宋体" w:hAnsi="宋体"/>
          <w:b/>
          <w:sz w:val="30"/>
          <w:szCs w:val="30"/>
        </w:rPr>
        <w:t>梅南江坪电站</w:t>
      </w:r>
      <w:r>
        <w:rPr>
          <w:rFonts w:hint="eastAsia" w:ascii="宋体" w:hAnsi="宋体"/>
          <w:b/>
          <w:sz w:val="30"/>
          <w:szCs w:val="30"/>
          <w:lang w:val="en-US" w:eastAsia="zh-CN"/>
        </w:rPr>
        <w:t>）</w:t>
      </w:r>
    </w:p>
    <w:p>
      <w:pPr>
        <w:numPr>
          <w:ilvl w:val="-1"/>
          <w:numId w:val="0"/>
        </w:numPr>
        <w:ind w:firstLine="2530" w:firstLineChars="900"/>
        <w:jc w:val="both"/>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10kV高压线路</w:t>
      </w:r>
      <w:r>
        <w:rPr>
          <w:rFonts w:hint="eastAsia" w:asciiTheme="majorEastAsia" w:hAnsiTheme="majorEastAsia" w:eastAsiaTheme="majorEastAsia" w:cstheme="majorEastAsia"/>
          <w:b/>
          <w:sz w:val="28"/>
          <w:szCs w:val="28"/>
          <w:lang w:val="en-US" w:eastAsia="zh-CN"/>
        </w:rPr>
        <w:t>改造</w:t>
      </w:r>
      <w:r>
        <w:rPr>
          <w:rFonts w:hint="eastAsia" w:asciiTheme="majorEastAsia" w:hAnsiTheme="majorEastAsia" w:eastAsiaTheme="majorEastAsia" w:cstheme="majorEastAsia"/>
          <w:b/>
          <w:sz w:val="28"/>
          <w:szCs w:val="28"/>
        </w:rPr>
        <w:t>工程需求：</w:t>
      </w:r>
    </w:p>
    <w:p>
      <w:pPr>
        <w:spacing w:line="360" w:lineRule="auto"/>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1、组织需求</w:t>
      </w:r>
    </w:p>
    <w:p>
      <w:pPr>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1.1江坪电站负责施工质量监护及协调相关工作。</w:t>
      </w:r>
    </w:p>
    <w:p>
      <w:pPr>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1.2严格按有关《安全生产条例》施工，特殊工种需持证上岗。</w:t>
      </w:r>
    </w:p>
    <w:p>
      <w:pPr>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1.3注重安全、提高质量意识，上下工序按要求进行。</w:t>
      </w:r>
    </w:p>
    <w:p>
      <w:pPr>
        <w:spacing w:line="360" w:lineRule="auto"/>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2、安全需求</w:t>
      </w:r>
    </w:p>
    <w:p>
      <w:pPr>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2.1施工现场安全设施齐全，防止高空坠落。</w:t>
      </w:r>
    </w:p>
    <w:p>
      <w:pPr>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2.2操作人员的劳保护具应配备齐全，特殊工种作业人员要持证上岗。</w:t>
      </w:r>
    </w:p>
    <w:p>
      <w:pPr>
        <w:spacing w:line="360" w:lineRule="auto"/>
        <w:ind w:firstLine="480" w:firstLineChars="200"/>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2.3施工现场用电要规范，主要电源要有漏电或过载保护装置。</w:t>
      </w:r>
    </w:p>
    <w:p>
      <w:pPr>
        <w:spacing w:line="360" w:lineRule="auto"/>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3、技术需求</w:t>
      </w:r>
    </w:p>
    <w:p>
      <w:pPr>
        <w:spacing w:line="360" w:lineRule="auto"/>
        <w:ind w:firstLine="465"/>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3.1对P1#至P21#杆的全部瓷瓶及部分横担、角铁、拉线进行更换；</w:t>
      </w:r>
    </w:p>
    <w:p>
      <w:pPr>
        <w:spacing w:line="360" w:lineRule="auto"/>
        <w:ind w:firstLine="465"/>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3.2对P22#杆至升压站电线杆、瓷瓶、拉线全部更换；</w:t>
      </w:r>
    </w:p>
    <w:p>
      <w:pPr>
        <w:spacing w:line="360" w:lineRule="auto"/>
        <w:ind w:firstLine="465"/>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3.3对升压站隔离开关、避雷器、油开关、地导线、瓷瓶、横担全部更换；</w:t>
      </w:r>
    </w:p>
    <w:p>
      <w:pPr>
        <w:spacing w:line="360" w:lineRule="auto"/>
        <w:ind w:firstLine="465"/>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3.4拆除废用支线；更换残旧绝缘工器具并进行相应试验；</w:t>
      </w:r>
    </w:p>
    <w:p>
      <w:pPr>
        <w:spacing w:line="360" w:lineRule="auto"/>
        <w:ind w:firstLine="465"/>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3.5检修变压器，更换接地线、变压器高压引线（绝缘线）及清除周边杂草；</w:t>
      </w:r>
    </w:p>
    <w:p>
      <w:pPr>
        <w:spacing w:line="360" w:lineRule="auto"/>
        <w:ind w:firstLine="465"/>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3.6对杆塔及设备挂安健环标识</w:t>
      </w:r>
      <w:r>
        <w:rPr>
          <w:rFonts w:hint="eastAsia" w:asciiTheme="majorEastAsia" w:hAnsiTheme="majorEastAsia" w:eastAsiaTheme="majorEastAsia" w:cstheme="majorEastAsia"/>
          <w:sz w:val="24"/>
          <w:szCs w:val="24"/>
          <w:lang w:val="en-US" w:eastAsia="zh-CN"/>
        </w:rPr>
        <w:t>等其他要求，符合南方电网梅县供电局所发的《用户安全隐患整改通知书》中的要求（详见附件两份）</w:t>
      </w:r>
      <w:r>
        <w:rPr>
          <w:rFonts w:hint="eastAsia" w:asciiTheme="majorEastAsia" w:hAnsiTheme="majorEastAsia" w:eastAsiaTheme="majorEastAsia" w:cstheme="majorEastAsia"/>
          <w:sz w:val="24"/>
          <w:szCs w:val="24"/>
        </w:rPr>
        <w:t>；</w:t>
      </w:r>
    </w:p>
    <w:p>
      <w:pPr>
        <w:spacing w:line="360" w:lineRule="auto"/>
        <w:ind w:firstLine="465"/>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3.7中标单位施工完成后需提供试验报告等相关纸质报告及整改工程能通过梅县供电局的验收；如验收不通过必须整改到梅县供电局验收通过为止。</w:t>
      </w:r>
    </w:p>
    <w:p>
      <w:pPr>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三、所供的材料配件必须是全新的材料配件，应有产品合格证等相关的配套资料；</w:t>
      </w:r>
    </w:p>
    <w:p>
      <w:pPr>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四、现场勘察 招标方不统一安排现场勘踏，由投标方自行安排勘踏，费用自理 ；</w:t>
      </w:r>
    </w:p>
    <w:p>
      <w:pPr>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五、现场勘察联系人：张小明 13502378828</w:t>
      </w:r>
    </w:p>
    <w:p>
      <w:pPr>
        <w:spacing w:line="360" w:lineRule="auto"/>
        <w:contextualSpacing/>
        <w:jc w:val="left"/>
        <w:rPr>
          <w:rFonts w:asciiTheme="majorEastAsia" w:hAnsiTheme="majorEastAsia" w:eastAsiaTheme="majorEastAsia" w:cstheme="majorEastAsia"/>
          <w:sz w:val="24"/>
          <w:lang w:val="zh-CN"/>
        </w:rPr>
      </w:pPr>
    </w:p>
    <w:p>
      <w:pPr>
        <w:rPr>
          <w:rFonts w:asciiTheme="majorEastAsia" w:hAnsiTheme="majorEastAsia" w:eastAsiaTheme="majorEastAsia" w:cstheme="majorEastAsia"/>
          <w:sz w:val="24"/>
          <w:lang w:val="zh-CN"/>
        </w:rPr>
      </w:pPr>
    </w:p>
    <w:p>
      <w:pPr>
        <w:spacing w:line="360" w:lineRule="auto"/>
        <w:contextualSpacing/>
        <w:jc w:val="left"/>
        <w:rPr>
          <w:rFonts w:asciiTheme="majorEastAsia" w:hAnsiTheme="majorEastAsia" w:eastAsiaTheme="majorEastAsia" w:cstheme="majorEastAsia"/>
          <w:sz w:val="24"/>
          <w:lang w:val="zh-CN"/>
        </w:rPr>
      </w:pPr>
    </w:p>
    <w:p>
      <w:pPr>
        <w:spacing w:line="360" w:lineRule="auto"/>
        <w:contextualSpacing/>
        <w:jc w:val="left"/>
        <w:rPr>
          <w:rFonts w:asciiTheme="majorEastAsia" w:hAnsiTheme="majorEastAsia" w:eastAsiaTheme="majorEastAsia" w:cstheme="majorEastAsia"/>
          <w:sz w:val="24"/>
          <w:lang w:val="zh-CN"/>
        </w:rPr>
      </w:pPr>
    </w:p>
    <w:p>
      <w:pPr>
        <w:jc w:val="center"/>
        <w:rPr>
          <w:rFonts w:hint="eastAsia" w:ascii="宋体" w:hAnsi="宋体"/>
          <w:b/>
          <w:sz w:val="30"/>
          <w:szCs w:val="30"/>
          <w:lang w:val="en-US" w:eastAsia="zh-CN"/>
        </w:rPr>
      </w:pPr>
      <w:r>
        <w:rPr>
          <w:rFonts w:hint="eastAsia" w:asciiTheme="majorEastAsia" w:hAnsiTheme="majorEastAsia" w:eastAsiaTheme="majorEastAsia" w:cstheme="majorEastAsia"/>
          <w:b/>
          <w:sz w:val="30"/>
          <w:szCs w:val="30"/>
        </w:rPr>
        <w:t>附表二 ：</w:t>
      </w:r>
      <w:r>
        <w:rPr>
          <w:rFonts w:hint="eastAsia" w:ascii="宋体" w:hAnsi="宋体"/>
          <w:b/>
          <w:sz w:val="30"/>
          <w:szCs w:val="30"/>
          <w:lang w:val="en-US" w:eastAsia="zh-CN"/>
        </w:rPr>
        <w:t>梅州市梅县区新城供水有限公司（</w:t>
      </w:r>
      <w:r>
        <w:rPr>
          <w:rFonts w:hint="eastAsia" w:ascii="宋体" w:hAnsi="宋体"/>
          <w:b/>
          <w:sz w:val="30"/>
          <w:szCs w:val="30"/>
        </w:rPr>
        <w:t>梅南江坪电站</w:t>
      </w:r>
      <w:r>
        <w:rPr>
          <w:rFonts w:hint="eastAsia" w:ascii="宋体" w:hAnsi="宋体"/>
          <w:b/>
          <w:sz w:val="30"/>
          <w:szCs w:val="30"/>
          <w:lang w:val="en-US" w:eastAsia="zh-CN"/>
        </w:rPr>
        <w:t>）</w:t>
      </w:r>
    </w:p>
    <w:p>
      <w:pPr>
        <w:spacing w:line="360" w:lineRule="auto"/>
        <w:ind w:firstLine="3313" w:firstLineChars="1100"/>
        <w:contextualSpacing/>
        <w:jc w:val="left"/>
        <w:rPr>
          <w:rFonts w:asciiTheme="majorEastAsia" w:hAnsiTheme="majorEastAsia" w:eastAsiaTheme="majorEastAsia" w:cstheme="majorEastAsia"/>
          <w:sz w:val="24"/>
          <w:lang w:val="zh-CN"/>
        </w:rPr>
      </w:pPr>
      <w:r>
        <w:rPr>
          <w:rFonts w:hint="eastAsia" w:asciiTheme="majorEastAsia" w:hAnsiTheme="majorEastAsia" w:eastAsiaTheme="majorEastAsia" w:cstheme="majorEastAsia"/>
          <w:b/>
          <w:sz w:val="30"/>
          <w:szCs w:val="30"/>
        </w:rPr>
        <w:t>10kV高压线路</w:t>
      </w:r>
      <w:r>
        <w:rPr>
          <w:rFonts w:hint="eastAsia" w:asciiTheme="majorEastAsia" w:hAnsiTheme="majorEastAsia" w:eastAsiaTheme="majorEastAsia" w:cstheme="majorEastAsia"/>
          <w:b/>
          <w:sz w:val="30"/>
          <w:szCs w:val="30"/>
          <w:lang w:val="en-US" w:eastAsia="zh-CN"/>
        </w:rPr>
        <w:t>改造</w:t>
      </w:r>
      <w:r>
        <w:rPr>
          <w:rFonts w:hint="eastAsia" w:asciiTheme="majorEastAsia" w:hAnsiTheme="majorEastAsia" w:eastAsiaTheme="majorEastAsia" w:cstheme="majorEastAsia"/>
          <w:b/>
          <w:sz w:val="30"/>
          <w:szCs w:val="30"/>
        </w:rPr>
        <w:t>工程报价表</w:t>
      </w:r>
    </w:p>
    <w:p>
      <w:pPr>
        <w:ind w:firstLine="8714" w:firstLineChars="3100"/>
        <w:rPr>
          <w:rFonts w:asciiTheme="majorEastAsia" w:hAnsiTheme="majorEastAsia" w:eastAsiaTheme="majorEastAsia" w:cstheme="majorEastAsia"/>
          <w:b/>
          <w:sz w:val="28"/>
          <w:szCs w:val="28"/>
        </w:rPr>
      </w:pPr>
      <w:r>
        <w:rPr>
          <w:rFonts w:hint="eastAsia" w:asciiTheme="majorEastAsia" w:hAnsiTheme="majorEastAsia" w:eastAsiaTheme="majorEastAsia" w:cstheme="majorEastAsia"/>
          <w:b/>
          <w:sz w:val="28"/>
          <w:szCs w:val="28"/>
        </w:rPr>
        <w:t>单位：元</w:t>
      </w:r>
    </w:p>
    <w:p>
      <w:pPr>
        <w:jc w:val="center"/>
        <w:rPr>
          <w:rFonts w:asciiTheme="majorEastAsia" w:hAnsiTheme="majorEastAsia" w:eastAsiaTheme="majorEastAsia" w:cstheme="majorEastAsia"/>
          <w:b/>
          <w:sz w:val="28"/>
          <w:szCs w:val="28"/>
        </w:rPr>
      </w:pPr>
      <w:bookmarkStart w:id="0" w:name="_Toc23422138"/>
      <w:r>
        <w:rPr>
          <w:rFonts w:hint="eastAsia" w:asciiTheme="majorEastAsia" w:hAnsiTheme="majorEastAsia" w:eastAsiaTheme="majorEastAsia" w:cstheme="majorEastAsia"/>
          <w:b/>
          <w:bCs/>
          <w:color w:val="000000"/>
          <w:sz w:val="28"/>
          <w:szCs w:val="28"/>
        </w:rPr>
        <w:t>一、投标报价表</w:t>
      </w:r>
      <w:bookmarkEnd w:id="0"/>
    </w:p>
    <w:tbl>
      <w:tblPr>
        <w:tblStyle w:val="10"/>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376"/>
        <w:gridCol w:w="61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200" w:hRule="atLeast"/>
        </w:trPr>
        <w:tc>
          <w:tcPr>
            <w:tcW w:w="720" w:type="dxa"/>
            <w:tcBorders>
              <w:top w:val="double" w:color="auto" w:sz="4" w:space="0"/>
              <w:bottom w:val="double" w:color="auto" w:sz="4" w:space="0"/>
            </w:tcBorders>
            <w:vAlign w:val="center"/>
          </w:tcPr>
          <w:p>
            <w:pPr>
              <w:pStyle w:val="26"/>
              <w:tabs>
                <w:tab w:val="clear" w:pos="2340"/>
              </w:tabs>
              <w:autoSpaceDE/>
              <w:autoSpaceDN/>
              <w:adjustRightInd/>
              <w:spacing w:line="240" w:lineRule="auto"/>
              <w:rPr>
                <w:rFonts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序号</w:t>
            </w:r>
          </w:p>
        </w:tc>
        <w:tc>
          <w:tcPr>
            <w:tcW w:w="2376" w:type="dxa"/>
            <w:tcBorders>
              <w:top w:val="double" w:color="auto" w:sz="4" w:space="0"/>
              <w:bottom w:val="double" w:color="auto" w:sz="4" w:space="0"/>
            </w:tcBorders>
            <w:vAlign w:val="center"/>
          </w:tcPr>
          <w:p>
            <w:pPr>
              <w:pStyle w:val="26"/>
              <w:tabs>
                <w:tab w:val="clear" w:pos="2340"/>
              </w:tabs>
              <w:autoSpaceDE/>
              <w:autoSpaceDN/>
              <w:adjustRightInd/>
              <w:spacing w:line="240" w:lineRule="auto"/>
              <w:rPr>
                <w:rFonts w:asciiTheme="majorEastAsia" w:hAnsiTheme="majorEastAsia" w:eastAsiaTheme="majorEastAsia" w:cstheme="majorEastAsia"/>
                <w:color w:val="000000"/>
                <w:kern w:val="2"/>
                <w:sz w:val="21"/>
                <w:szCs w:val="21"/>
              </w:rPr>
            </w:pPr>
            <w:r>
              <w:rPr>
                <w:rFonts w:hint="eastAsia" w:asciiTheme="majorEastAsia" w:hAnsiTheme="majorEastAsia" w:eastAsiaTheme="majorEastAsia" w:cstheme="majorEastAsia"/>
                <w:color w:val="000000"/>
                <w:kern w:val="2"/>
                <w:sz w:val="21"/>
                <w:szCs w:val="21"/>
              </w:rPr>
              <w:t>项 目 名 称</w:t>
            </w:r>
          </w:p>
        </w:tc>
        <w:tc>
          <w:tcPr>
            <w:tcW w:w="6191" w:type="dxa"/>
            <w:tcBorders>
              <w:top w:val="double" w:color="auto" w:sz="4" w:space="0"/>
              <w:bottom w:val="double" w:color="auto" w:sz="4" w:space="0"/>
            </w:tcBorders>
            <w:vAlign w:val="center"/>
          </w:tcPr>
          <w:p>
            <w:pPr>
              <w:jc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投 标 总 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trPr>
        <w:tc>
          <w:tcPr>
            <w:tcW w:w="720" w:type="dxa"/>
            <w:tcBorders>
              <w:bottom w:val="double" w:color="auto" w:sz="4" w:space="0"/>
            </w:tcBorders>
            <w:vAlign w:val="center"/>
          </w:tcPr>
          <w:p>
            <w:pPr>
              <w:jc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1</w:t>
            </w:r>
          </w:p>
        </w:tc>
        <w:tc>
          <w:tcPr>
            <w:tcW w:w="2376" w:type="dxa"/>
            <w:tcBorders>
              <w:bottom w:val="double" w:color="auto" w:sz="4" w:space="0"/>
            </w:tcBorders>
            <w:vAlign w:val="center"/>
          </w:tcPr>
          <w:p>
            <w:pPr>
              <w:jc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投标总价（不含税）</w:t>
            </w:r>
          </w:p>
        </w:tc>
        <w:tc>
          <w:tcPr>
            <w:tcW w:w="6191" w:type="dxa"/>
            <w:tcBorders>
              <w:bottom w:val="double" w:color="auto" w:sz="4" w:space="0"/>
            </w:tcBorders>
          </w:tcPr>
          <w:p>
            <w:pPr>
              <w:jc w:val="center"/>
              <w:rPr>
                <w:rFonts w:asciiTheme="majorEastAsia" w:hAnsiTheme="majorEastAsia" w:eastAsiaTheme="majorEastAsia" w:cstheme="majorEastAsia"/>
                <w:color w:val="000000"/>
                <w:szCs w:val="21"/>
              </w:rPr>
            </w:pPr>
          </w:p>
        </w:tc>
      </w:tr>
    </w:tbl>
    <w:p>
      <w:pPr>
        <w:spacing w:line="276" w:lineRule="auto"/>
        <w:rPr>
          <w:rFonts w:asciiTheme="majorEastAsia" w:hAnsiTheme="majorEastAsia" w:eastAsiaTheme="majorEastAsia" w:cstheme="majorEastAsia"/>
          <w:b/>
          <w:bCs/>
          <w:color w:val="000000"/>
          <w:szCs w:val="21"/>
        </w:rPr>
      </w:pPr>
      <w:r>
        <w:rPr>
          <w:rFonts w:hint="eastAsia" w:asciiTheme="majorEastAsia" w:hAnsiTheme="majorEastAsia" w:eastAsiaTheme="majorEastAsia" w:cstheme="majorEastAsia"/>
          <w:b/>
          <w:bCs/>
          <w:color w:val="000000"/>
          <w:szCs w:val="21"/>
        </w:rPr>
        <w:t>说明：</w:t>
      </w:r>
    </w:p>
    <w:p>
      <w:pPr>
        <w:spacing w:line="276" w:lineRule="auto"/>
        <w:rPr>
          <w:rFonts w:asciiTheme="majorEastAsia" w:hAnsiTheme="majorEastAsia" w:eastAsiaTheme="majorEastAsia" w:cstheme="majorEastAsia"/>
          <w:b/>
          <w:color w:val="000000"/>
          <w:szCs w:val="21"/>
        </w:rPr>
      </w:pPr>
      <w:r>
        <w:rPr>
          <w:rFonts w:hint="eastAsia" w:asciiTheme="majorEastAsia" w:hAnsiTheme="majorEastAsia" w:eastAsiaTheme="majorEastAsia" w:cstheme="majorEastAsia"/>
          <w:b/>
          <w:bCs/>
          <w:color w:val="000000"/>
          <w:szCs w:val="21"/>
        </w:rPr>
        <w:t xml:space="preserve">1、 </w:t>
      </w:r>
      <w:r>
        <w:rPr>
          <w:rFonts w:hint="eastAsia" w:asciiTheme="majorEastAsia" w:hAnsiTheme="majorEastAsia" w:eastAsiaTheme="majorEastAsia" w:cstheme="majorEastAsia"/>
          <w:b/>
          <w:color w:val="000000"/>
          <w:szCs w:val="21"/>
        </w:rPr>
        <w:t>投标报价</w:t>
      </w:r>
      <w:r>
        <w:rPr>
          <w:rFonts w:hint="eastAsia" w:asciiTheme="majorEastAsia" w:hAnsiTheme="majorEastAsia" w:eastAsiaTheme="majorEastAsia" w:cstheme="majorEastAsia"/>
          <w:b/>
          <w:szCs w:val="21"/>
        </w:rPr>
        <w:t>包括除税金外其他</w:t>
      </w:r>
      <w:r>
        <w:rPr>
          <w:rFonts w:hint="eastAsia" w:asciiTheme="majorEastAsia" w:hAnsiTheme="majorEastAsia" w:eastAsiaTheme="majorEastAsia" w:cstheme="majorEastAsia"/>
          <w:b/>
          <w:color w:val="000000"/>
          <w:szCs w:val="21"/>
        </w:rPr>
        <w:t>所有费用。</w:t>
      </w:r>
    </w:p>
    <w:p>
      <w:pPr>
        <w:ind w:right="560"/>
        <w:rPr>
          <w:rFonts w:asciiTheme="majorEastAsia" w:hAnsiTheme="majorEastAsia" w:eastAsiaTheme="majorEastAsia" w:cstheme="majorEastAsia"/>
          <w:sz w:val="28"/>
          <w:szCs w:val="28"/>
        </w:rPr>
      </w:pPr>
      <w:r>
        <w:rPr>
          <w:rFonts w:hint="eastAsia" w:asciiTheme="majorEastAsia" w:hAnsiTheme="majorEastAsia" w:eastAsiaTheme="majorEastAsia" w:cstheme="majorEastAsia"/>
          <w:b/>
        </w:rPr>
        <w:t>2、投标单位的投标报价超过最高限价2</w:t>
      </w:r>
      <w:r>
        <w:rPr>
          <w:rFonts w:hint="eastAsia" w:asciiTheme="majorEastAsia" w:hAnsiTheme="majorEastAsia" w:eastAsiaTheme="majorEastAsia" w:cstheme="majorEastAsia"/>
          <w:b/>
          <w:lang w:val="en-US" w:eastAsia="zh-CN"/>
        </w:rPr>
        <w:t>7</w:t>
      </w:r>
      <w:r>
        <w:rPr>
          <w:rFonts w:hint="eastAsia" w:asciiTheme="majorEastAsia" w:hAnsiTheme="majorEastAsia" w:eastAsiaTheme="majorEastAsia" w:cstheme="majorEastAsia"/>
          <w:b/>
        </w:rPr>
        <w:t>万元人民币（不含税），均视为无效投标。</w:t>
      </w:r>
    </w:p>
    <w:p>
      <w:pPr>
        <w:ind w:right="1680"/>
        <w:jc w:val="right"/>
        <w:rPr>
          <w:rFonts w:asciiTheme="majorEastAsia" w:hAnsiTheme="majorEastAsia" w:eastAsiaTheme="majorEastAsia" w:cstheme="majorEastAsia"/>
          <w:sz w:val="28"/>
          <w:szCs w:val="28"/>
        </w:rPr>
      </w:pPr>
    </w:p>
    <w:p>
      <w:pPr>
        <w:ind w:right="1680"/>
        <w:jc w:val="righ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投标单位：  </w:t>
      </w:r>
    </w:p>
    <w:p>
      <w:pPr>
        <w:ind w:right="1680"/>
        <w:jc w:val="righ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日期：  </w:t>
      </w:r>
    </w:p>
    <w:p>
      <w:pPr>
        <w:ind w:right="1960"/>
        <w:jc w:val="center"/>
        <w:rPr>
          <w:rFonts w:asciiTheme="majorEastAsia" w:hAnsiTheme="majorEastAsia" w:eastAsiaTheme="majorEastAsia" w:cstheme="majorEastAsia"/>
          <w:b/>
          <w:bCs/>
          <w:color w:val="000000"/>
          <w:sz w:val="28"/>
          <w:szCs w:val="28"/>
        </w:rPr>
      </w:pPr>
      <w:r>
        <w:rPr>
          <w:rFonts w:hint="eastAsia" w:asciiTheme="majorEastAsia" w:hAnsiTheme="majorEastAsia" w:eastAsiaTheme="majorEastAsia" w:cstheme="majorEastAsia"/>
          <w:b/>
          <w:bCs/>
          <w:color w:val="000000"/>
          <w:sz w:val="28"/>
          <w:szCs w:val="28"/>
        </w:rPr>
        <w:t xml:space="preserve">             二、分项报价表</w:t>
      </w:r>
    </w:p>
    <w:p>
      <w:pPr>
        <w:ind w:firstLine="396" w:firstLineChars="200"/>
        <w:rPr>
          <w:rFonts w:asciiTheme="majorEastAsia" w:hAnsiTheme="majorEastAsia" w:eastAsiaTheme="majorEastAsia" w:cstheme="majorEastAsia"/>
          <w:b/>
          <w:spacing w:val="-6"/>
        </w:rPr>
      </w:pPr>
      <w:r>
        <w:rPr>
          <w:rFonts w:hint="eastAsia" w:asciiTheme="majorEastAsia" w:hAnsiTheme="majorEastAsia" w:eastAsiaTheme="majorEastAsia" w:cstheme="majorEastAsia"/>
          <w:spacing w:val="-6"/>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价格不变。</w:t>
      </w:r>
      <w:r>
        <w:rPr>
          <w:rFonts w:hint="eastAsia" w:asciiTheme="majorEastAsia" w:hAnsiTheme="majorEastAsia" w:eastAsiaTheme="majorEastAsia" w:cstheme="majorEastAsia"/>
          <w:b/>
          <w:spacing w:val="-6"/>
        </w:rPr>
        <w:t>（所投产品必须注明规格/品牌型号）</w:t>
      </w:r>
    </w:p>
    <w:p>
      <w:pPr>
        <w:ind w:firstLine="420" w:firstLineChars="200"/>
        <w:jc w:val="right"/>
        <w:rPr>
          <w:rFonts w:asciiTheme="majorEastAsia" w:hAnsiTheme="majorEastAsia" w:eastAsiaTheme="majorEastAsia" w:cstheme="majorEastAsia"/>
        </w:rPr>
      </w:pPr>
      <w:r>
        <w:rPr>
          <w:rFonts w:hint="eastAsia" w:asciiTheme="majorEastAsia" w:hAnsiTheme="majorEastAsia" w:eastAsiaTheme="majorEastAsia" w:cstheme="majorEastAsia"/>
        </w:rPr>
        <w:t>单位：人民币元 （不含税）</w:t>
      </w:r>
    </w:p>
    <w:tbl>
      <w:tblPr>
        <w:tblStyle w:val="10"/>
        <w:tblW w:w="9721" w:type="dxa"/>
        <w:tblInd w:w="0" w:type="dxa"/>
        <w:tblLayout w:type="autofit"/>
        <w:tblCellMar>
          <w:top w:w="0" w:type="dxa"/>
          <w:left w:w="108" w:type="dxa"/>
          <w:bottom w:w="0" w:type="dxa"/>
          <w:right w:w="108" w:type="dxa"/>
        </w:tblCellMar>
      </w:tblPr>
      <w:tblGrid>
        <w:gridCol w:w="589"/>
        <w:gridCol w:w="3086"/>
        <w:gridCol w:w="1630"/>
        <w:gridCol w:w="743"/>
        <w:gridCol w:w="900"/>
        <w:gridCol w:w="815"/>
        <w:gridCol w:w="813"/>
        <w:gridCol w:w="1145"/>
      </w:tblGrid>
      <w:tr>
        <w:tblPrEx>
          <w:tblCellMar>
            <w:top w:w="0" w:type="dxa"/>
            <w:left w:w="108" w:type="dxa"/>
            <w:bottom w:w="0" w:type="dxa"/>
            <w:right w:w="108" w:type="dxa"/>
          </w:tblCellMar>
        </w:tblPrEx>
        <w:trPr>
          <w:trHeight w:val="450" w:hRule="atLeast"/>
        </w:trPr>
        <w:tc>
          <w:tcPr>
            <w:tcW w:w="58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序号</w:t>
            </w:r>
          </w:p>
        </w:tc>
        <w:tc>
          <w:tcPr>
            <w:tcW w:w="3086" w:type="dxa"/>
            <w:tcBorders>
              <w:top w:val="single" w:color="auto" w:sz="4" w:space="0"/>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项目名称</w:t>
            </w:r>
          </w:p>
        </w:tc>
        <w:tc>
          <w:tcPr>
            <w:tcW w:w="1630" w:type="dxa"/>
            <w:tcBorders>
              <w:top w:val="single" w:color="auto" w:sz="4" w:space="0"/>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规格/品牌型号</w:t>
            </w:r>
          </w:p>
        </w:tc>
        <w:tc>
          <w:tcPr>
            <w:tcW w:w="743" w:type="dxa"/>
            <w:tcBorders>
              <w:top w:val="single" w:color="auto" w:sz="4" w:space="0"/>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单位</w:t>
            </w:r>
          </w:p>
        </w:tc>
        <w:tc>
          <w:tcPr>
            <w:tcW w:w="900" w:type="dxa"/>
            <w:tcBorders>
              <w:top w:val="single" w:color="auto" w:sz="4" w:space="0"/>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数量</w:t>
            </w:r>
          </w:p>
        </w:tc>
        <w:tc>
          <w:tcPr>
            <w:tcW w:w="815" w:type="dxa"/>
            <w:tcBorders>
              <w:top w:val="single" w:color="auto" w:sz="4" w:space="0"/>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单价</w:t>
            </w:r>
          </w:p>
        </w:tc>
        <w:tc>
          <w:tcPr>
            <w:tcW w:w="813" w:type="dxa"/>
            <w:tcBorders>
              <w:top w:val="single" w:color="auto" w:sz="4" w:space="0"/>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合计</w:t>
            </w:r>
          </w:p>
        </w:tc>
        <w:tc>
          <w:tcPr>
            <w:tcW w:w="1145" w:type="dxa"/>
            <w:tcBorders>
              <w:top w:val="single" w:color="auto" w:sz="4" w:space="0"/>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备注</w:t>
            </w:r>
          </w:p>
        </w:tc>
      </w:tr>
      <w:tr>
        <w:tblPrEx>
          <w:tblCellMar>
            <w:top w:w="0" w:type="dxa"/>
            <w:left w:w="108" w:type="dxa"/>
            <w:bottom w:w="0" w:type="dxa"/>
            <w:right w:w="108" w:type="dxa"/>
          </w:tblCellMar>
        </w:tblPrEx>
        <w:trPr>
          <w:trHeight w:val="360" w:hRule="atLeast"/>
        </w:trPr>
        <w:tc>
          <w:tcPr>
            <w:tcW w:w="589" w:type="dxa"/>
            <w:tcBorders>
              <w:top w:val="nil"/>
              <w:left w:val="single" w:color="auto" w:sz="4" w:space="0"/>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一</w:t>
            </w:r>
          </w:p>
        </w:tc>
        <w:tc>
          <w:tcPr>
            <w:tcW w:w="9132" w:type="dxa"/>
            <w:gridSpan w:val="7"/>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b/>
                <w:kern w:val="0"/>
                <w:sz w:val="24"/>
                <w:szCs w:val="24"/>
              </w:rPr>
            </w:pPr>
            <w:r>
              <w:rPr>
                <w:rFonts w:hint="eastAsia" w:asciiTheme="majorEastAsia" w:hAnsiTheme="majorEastAsia" w:eastAsiaTheme="majorEastAsia" w:cstheme="majorEastAsia"/>
                <w:b/>
                <w:kern w:val="0"/>
                <w:sz w:val="24"/>
                <w:szCs w:val="24"/>
              </w:rPr>
              <w:t>设备材料费</w:t>
            </w:r>
          </w:p>
        </w:tc>
      </w:tr>
      <w:tr>
        <w:tblPrEx>
          <w:tblCellMar>
            <w:top w:w="0" w:type="dxa"/>
            <w:left w:w="108" w:type="dxa"/>
            <w:bottom w:w="0" w:type="dxa"/>
            <w:right w:w="108" w:type="dxa"/>
          </w:tblCellMar>
        </w:tblPrEx>
        <w:trPr>
          <w:trHeight w:val="360" w:hRule="atLeast"/>
        </w:trPr>
        <w:tc>
          <w:tcPr>
            <w:tcW w:w="589" w:type="dxa"/>
            <w:tcBorders>
              <w:top w:val="nil"/>
              <w:left w:val="single" w:color="auto" w:sz="4" w:space="0"/>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w:t>
            </w:r>
          </w:p>
        </w:tc>
        <w:tc>
          <w:tcPr>
            <w:tcW w:w="3086"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10kV高压真空断路器（带保护型）</w:t>
            </w:r>
          </w:p>
        </w:tc>
        <w:tc>
          <w:tcPr>
            <w:tcW w:w="163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630A</w:t>
            </w:r>
          </w:p>
        </w:tc>
        <w:tc>
          <w:tcPr>
            <w:tcW w:w="74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套</w:t>
            </w:r>
          </w:p>
        </w:tc>
        <w:tc>
          <w:tcPr>
            <w:tcW w:w="90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w:t>
            </w:r>
          </w:p>
        </w:tc>
        <w:tc>
          <w:tcPr>
            <w:tcW w:w="81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81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114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16"/>
                <w:szCs w:val="16"/>
              </w:rPr>
            </w:pPr>
          </w:p>
        </w:tc>
      </w:tr>
      <w:tr>
        <w:tblPrEx>
          <w:tblCellMar>
            <w:top w:w="0" w:type="dxa"/>
            <w:left w:w="108" w:type="dxa"/>
            <w:bottom w:w="0" w:type="dxa"/>
            <w:right w:w="108" w:type="dxa"/>
          </w:tblCellMar>
        </w:tblPrEx>
        <w:trPr>
          <w:trHeight w:val="375" w:hRule="atLeast"/>
        </w:trPr>
        <w:tc>
          <w:tcPr>
            <w:tcW w:w="589" w:type="dxa"/>
            <w:tcBorders>
              <w:top w:val="nil"/>
              <w:left w:val="single" w:color="auto" w:sz="4" w:space="0"/>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w:t>
            </w:r>
          </w:p>
        </w:tc>
        <w:tc>
          <w:tcPr>
            <w:tcW w:w="3086"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户外隔离开关</w:t>
            </w:r>
          </w:p>
        </w:tc>
        <w:tc>
          <w:tcPr>
            <w:tcW w:w="163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630A</w:t>
            </w:r>
          </w:p>
        </w:tc>
        <w:tc>
          <w:tcPr>
            <w:tcW w:w="74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组</w:t>
            </w:r>
          </w:p>
        </w:tc>
        <w:tc>
          <w:tcPr>
            <w:tcW w:w="90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4</w:t>
            </w:r>
          </w:p>
        </w:tc>
        <w:tc>
          <w:tcPr>
            <w:tcW w:w="81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81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114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16"/>
                <w:szCs w:val="16"/>
              </w:rPr>
            </w:pPr>
          </w:p>
        </w:tc>
      </w:tr>
      <w:tr>
        <w:tblPrEx>
          <w:tblCellMar>
            <w:top w:w="0" w:type="dxa"/>
            <w:left w:w="108" w:type="dxa"/>
            <w:bottom w:w="0" w:type="dxa"/>
            <w:right w:w="108" w:type="dxa"/>
          </w:tblCellMar>
        </w:tblPrEx>
        <w:trPr>
          <w:trHeight w:val="375" w:hRule="atLeast"/>
        </w:trPr>
        <w:tc>
          <w:tcPr>
            <w:tcW w:w="589" w:type="dxa"/>
            <w:tcBorders>
              <w:top w:val="nil"/>
              <w:left w:val="single" w:color="auto" w:sz="4" w:space="0"/>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3</w:t>
            </w:r>
          </w:p>
        </w:tc>
        <w:tc>
          <w:tcPr>
            <w:tcW w:w="3086"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10kV高压避雷器</w:t>
            </w:r>
          </w:p>
        </w:tc>
        <w:tc>
          <w:tcPr>
            <w:tcW w:w="163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10kV</w:t>
            </w:r>
          </w:p>
        </w:tc>
        <w:tc>
          <w:tcPr>
            <w:tcW w:w="74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组</w:t>
            </w:r>
          </w:p>
        </w:tc>
        <w:tc>
          <w:tcPr>
            <w:tcW w:w="900" w:type="dxa"/>
            <w:tcBorders>
              <w:top w:val="nil"/>
              <w:left w:val="nil"/>
              <w:bottom w:val="nil"/>
              <w:right w:val="nil"/>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3</w:t>
            </w:r>
          </w:p>
        </w:tc>
        <w:tc>
          <w:tcPr>
            <w:tcW w:w="815" w:type="dxa"/>
            <w:tcBorders>
              <w:top w:val="nil"/>
              <w:left w:val="single" w:color="auto" w:sz="4" w:space="0"/>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81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114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16"/>
                <w:szCs w:val="16"/>
              </w:rPr>
            </w:pPr>
          </w:p>
        </w:tc>
      </w:tr>
      <w:tr>
        <w:tblPrEx>
          <w:tblCellMar>
            <w:top w:w="0" w:type="dxa"/>
            <w:left w:w="108" w:type="dxa"/>
            <w:bottom w:w="0" w:type="dxa"/>
            <w:right w:w="108" w:type="dxa"/>
          </w:tblCellMar>
        </w:tblPrEx>
        <w:trPr>
          <w:trHeight w:val="375" w:hRule="atLeast"/>
        </w:trPr>
        <w:tc>
          <w:tcPr>
            <w:tcW w:w="589" w:type="dxa"/>
            <w:tcBorders>
              <w:top w:val="nil"/>
              <w:left w:val="single" w:color="auto" w:sz="4" w:space="0"/>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4</w:t>
            </w:r>
          </w:p>
        </w:tc>
        <w:tc>
          <w:tcPr>
            <w:tcW w:w="3086"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跌落式熔断器</w:t>
            </w:r>
          </w:p>
        </w:tc>
        <w:tc>
          <w:tcPr>
            <w:tcW w:w="163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10kV</w:t>
            </w:r>
          </w:p>
        </w:tc>
        <w:tc>
          <w:tcPr>
            <w:tcW w:w="74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组</w:t>
            </w:r>
          </w:p>
        </w:tc>
        <w:tc>
          <w:tcPr>
            <w:tcW w:w="900" w:type="dxa"/>
            <w:tcBorders>
              <w:top w:val="single" w:color="auto" w:sz="4" w:space="0"/>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3</w:t>
            </w:r>
          </w:p>
        </w:tc>
        <w:tc>
          <w:tcPr>
            <w:tcW w:w="81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81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114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16"/>
                <w:szCs w:val="16"/>
              </w:rPr>
            </w:pPr>
          </w:p>
        </w:tc>
      </w:tr>
      <w:tr>
        <w:tblPrEx>
          <w:tblCellMar>
            <w:top w:w="0" w:type="dxa"/>
            <w:left w:w="108" w:type="dxa"/>
            <w:bottom w:w="0" w:type="dxa"/>
            <w:right w:w="108" w:type="dxa"/>
          </w:tblCellMar>
        </w:tblPrEx>
        <w:trPr>
          <w:trHeight w:val="375" w:hRule="atLeast"/>
        </w:trPr>
        <w:tc>
          <w:tcPr>
            <w:tcW w:w="589" w:type="dxa"/>
            <w:tcBorders>
              <w:top w:val="nil"/>
              <w:left w:val="single" w:color="auto" w:sz="4" w:space="0"/>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5</w:t>
            </w:r>
          </w:p>
        </w:tc>
        <w:tc>
          <w:tcPr>
            <w:tcW w:w="3086"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地级</w:t>
            </w:r>
          </w:p>
        </w:tc>
        <w:tc>
          <w:tcPr>
            <w:tcW w:w="163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10kV</w:t>
            </w:r>
          </w:p>
        </w:tc>
        <w:tc>
          <w:tcPr>
            <w:tcW w:w="74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付</w:t>
            </w:r>
          </w:p>
        </w:tc>
        <w:tc>
          <w:tcPr>
            <w:tcW w:w="90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3</w:t>
            </w:r>
          </w:p>
        </w:tc>
        <w:tc>
          <w:tcPr>
            <w:tcW w:w="81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81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114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16"/>
                <w:szCs w:val="16"/>
              </w:rPr>
            </w:pPr>
          </w:p>
        </w:tc>
      </w:tr>
      <w:tr>
        <w:tblPrEx>
          <w:tblCellMar>
            <w:top w:w="0" w:type="dxa"/>
            <w:left w:w="108" w:type="dxa"/>
            <w:bottom w:w="0" w:type="dxa"/>
            <w:right w:w="108" w:type="dxa"/>
          </w:tblCellMar>
        </w:tblPrEx>
        <w:trPr>
          <w:trHeight w:val="375" w:hRule="atLeast"/>
        </w:trPr>
        <w:tc>
          <w:tcPr>
            <w:tcW w:w="589" w:type="dxa"/>
            <w:tcBorders>
              <w:top w:val="nil"/>
              <w:left w:val="single" w:color="auto" w:sz="4" w:space="0"/>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6</w:t>
            </w:r>
          </w:p>
        </w:tc>
        <w:tc>
          <w:tcPr>
            <w:tcW w:w="3086"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线夹</w:t>
            </w:r>
          </w:p>
        </w:tc>
        <w:tc>
          <w:tcPr>
            <w:tcW w:w="163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10kV</w:t>
            </w:r>
          </w:p>
        </w:tc>
        <w:tc>
          <w:tcPr>
            <w:tcW w:w="74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只</w:t>
            </w:r>
          </w:p>
        </w:tc>
        <w:tc>
          <w:tcPr>
            <w:tcW w:w="90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12</w:t>
            </w:r>
          </w:p>
        </w:tc>
        <w:tc>
          <w:tcPr>
            <w:tcW w:w="81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81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114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16"/>
                <w:szCs w:val="16"/>
              </w:rPr>
            </w:pPr>
          </w:p>
        </w:tc>
      </w:tr>
      <w:tr>
        <w:tblPrEx>
          <w:tblCellMar>
            <w:top w:w="0" w:type="dxa"/>
            <w:left w:w="108" w:type="dxa"/>
            <w:bottom w:w="0" w:type="dxa"/>
            <w:right w:w="108" w:type="dxa"/>
          </w:tblCellMar>
        </w:tblPrEx>
        <w:trPr>
          <w:trHeight w:val="375" w:hRule="atLeast"/>
        </w:trPr>
        <w:tc>
          <w:tcPr>
            <w:tcW w:w="589" w:type="dxa"/>
            <w:tcBorders>
              <w:top w:val="nil"/>
              <w:left w:val="single" w:color="auto" w:sz="4" w:space="0"/>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7</w:t>
            </w:r>
          </w:p>
        </w:tc>
        <w:tc>
          <w:tcPr>
            <w:tcW w:w="3086"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横担铁件</w:t>
            </w:r>
          </w:p>
        </w:tc>
        <w:tc>
          <w:tcPr>
            <w:tcW w:w="163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10kV</w:t>
            </w:r>
          </w:p>
        </w:tc>
        <w:tc>
          <w:tcPr>
            <w:tcW w:w="74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根</w:t>
            </w:r>
          </w:p>
        </w:tc>
        <w:tc>
          <w:tcPr>
            <w:tcW w:w="90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20</w:t>
            </w:r>
          </w:p>
        </w:tc>
        <w:tc>
          <w:tcPr>
            <w:tcW w:w="81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tc>
        <w:tc>
          <w:tcPr>
            <w:tcW w:w="81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114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16"/>
                <w:szCs w:val="16"/>
              </w:rPr>
            </w:pPr>
            <w:r>
              <w:rPr>
                <w:rFonts w:hint="eastAsia" w:asciiTheme="majorEastAsia" w:hAnsiTheme="majorEastAsia" w:eastAsiaTheme="majorEastAsia" w:cstheme="majorEastAsia"/>
                <w:kern w:val="0"/>
                <w:sz w:val="16"/>
                <w:szCs w:val="16"/>
              </w:rPr>
              <w:t>　</w:t>
            </w:r>
          </w:p>
        </w:tc>
      </w:tr>
      <w:tr>
        <w:tblPrEx>
          <w:tblCellMar>
            <w:top w:w="0" w:type="dxa"/>
            <w:left w:w="108" w:type="dxa"/>
            <w:bottom w:w="0" w:type="dxa"/>
            <w:right w:w="108" w:type="dxa"/>
          </w:tblCellMar>
        </w:tblPrEx>
        <w:trPr>
          <w:trHeight w:val="375" w:hRule="atLeast"/>
        </w:trPr>
        <w:tc>
          <w:tcPr>
            <w:tcW w:w="589" w:type="dxa"/>
            <w:tcBorders>
              <w:top w:val="nil"/>
              <w:left w:val="single" w:color="auto" w:sz="4" w:space="0"/>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8</w:t>
            </w:r>
          </w:p>
        </w:tc>
        <w:tc>
          <w:tcPr>
            <w:tcW w:w="3086"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瓷横担</w:t>
            </w:r>
          </w:p>
        </w:tc>
        <w:tc>
          <w:tcPr>
            <w:tcW w:w="163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10kV</w:t>
            </w:r>
          </w:p>
        </w:tc>
        <w:tc>
          <w:tcPr>
            <w:tcW w:w="74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根</w:t>
            </w:r>
          </w:p>
        </w:tc>
        <w:tc>
          <w:tcPr>
            <w:tcW w:w="90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12</w:t>
            </w:r>
          </w:p>
        </w:tc>
        <w:tc>
          <w:tcPr>
            <w:tcW w:w="81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81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114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16"/>
                <w:szCs w:val="16"/>
              </w:rPr>
            </w:pPr>
          </w:p>
        </w:tc>
      </w:tr>
      <w:tr>
        <w:tblPrEx>
          <w:tblCellMar>
            <w:top w:w="0" w:type="dxa"/>
            <w:left w:w="108" w:type="dxa"/>
            <w:bottom w:w="0" w:type="dxa"/>
            <w:right w:w="108" w:type="dxa"/>
          </w:tblCellMar>
        </w:tblPrEx>
        <w:trPr>
          <w:trHeight w:val="345" w:hRule="atLeast"/>
        </w:trPr>
        <w:tc>
          <w:tcPr>
            <w:tcW w:w="589" w:type="dxa"/>
            <w:tcBorders>
              <w:top w:val="nil"/>
              <w:left w:val="single" w:color="auto" w:sz="4" w:space="0"/>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9</w:t>
            </w:r>
          </w:p>
        </w:tc>
        <w:tc>
          <w:tcPr>
            <w:tcW w:w="3086"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悬式绝缘子</w:t>
            </w:r>
          </w:p>
        </w:tc>
        <w:tc>
          <w:tcPr>
            <w:tcW w:w="163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10kV</w:t>
            </w:r>
          </w:p>
        </w:tc>
        <w:tc>
          <w:tcPr>
            <w:tcW w:w="74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个</w:t>
            </w:r>
          </w:p>
        </w:tc>
        <w:tc>
          <w:tcPr>
            <w:tcW w:w="90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36</w:t>
            </w:r>
          </w:p>
        </w:tc>
        <w:tc>
          <w:tcPr>
            <w:tcW w:w="81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81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114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16"/>
                <w:szCs w:val="16"/>
              </w:rPr>
            </w:pPr>
          </w:p>
        </w:tc>
      </w:tr>
      <w:tr>
        <w:tblPrEx>
          <w:tblCellMar>
            <w:top w:w="0" w:type="dxa"/>
            <w:left w:w="108" w:type="dxa"/>
            <w:bottom w:w="0" w:type="dxa"/>
            <w:right w:w="108" w:type="dxa"/>
          </w:tblCellMar>
        </w:tblPrEx>
        <w:trPr>
          <w:trHeight w:val="345" w:hRule="atLeast"/>
        </w:trPr>
        <w:tc>
          <w:tcPr>
            <w:tcW w:w="589" w:type="dxa"/>
            <w:tcBorders>
              <w:top w:val="nil"/>
              <w:left w:val="single" w:color="auto" w:sz="4" w:space="0"/>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10</w:t>
            </w:r>
          </w:p>
        </w:tc>
        <w:tc>
          <w:tcPr>
            <w:tcW w:w="3086"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针式绝缘子</w:t>
            </w:r>
          </w:p>
        </w:tc>
        <w:tc>
          <w:tcPr>
            <w:tcW w:w="163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10kV</w:t>
            </w:r>
          </w:p>
        </w:tc>
        <w:tc>
          <w:tcPr>
            <w:tcW w:w="74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个</w:t>
            </w:r>
          </w:p>
        </w:tc>
        <w:tc>
          <w:tcPr>
            <w:tcW w:w="90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85</w:t>
            </w:r>
          </w:p>
        </w:tc>
        <w:tc>
          <w:tcPr>
            <w:tcW w:w="81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81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114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16"/>
                <w:szCs w:val="16"/>
              </w:rPr>
            </w:pPr>
            <w:r>
              <w:rPr>
                <w:rFonts w:hint="eastAsia" w:asciiTheme="majorEastAsia" w:hAnsiTheme="majorEastAsia" w:eastAsiaTheme="majorEastAsia" w:cstheme="majorEastAsia"/>
                <w:kern w:val="0"/>
                <w:sz w:val="16"/>
                <w:szCs w:val="16"/>
              </w:rPr>
              <w:t>　</w:t>
            </w:r>
          </w:p>
        </w:tc>
      </w:tr>
      <w:tr>
        <w:tblPrEx>
          <w:tblCellMar>
            <w:top w:w="0" w:type="dxa"/>
            <w:left w:w="108" w:type="dxa"/>
            <w:bottom w:w="0" w:type="dxa"/>
            <w:right w:w="108" w:type="dxa"/>
          </w:tblCellMar>
        </w:tblPrEx>
        <w:trPr>
          <w:trHeight w:val="345" w:hRule="atLeast"/>
        </w:trPr>
        <w:tc>
          <w:tcPr>
            <w:tcW w:w="589" w:type="dxa"/>
            <w:tcBorders>
              <w:top w:val="nil"/>
              <w:left w:val="single" w:color="auto" w:sz="4" w:space="0"/>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11</w:t>
            </w:r>
          </w:p>
        </w:tc>
        <w:tc>
          <w:tcPr>
            <w:tcW w:w="3086"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架空线路钢芯绝缘线</w:t>
            </w:r>
          </w:p>
        </w:tc>
        <w:tc>
          <w:tcPr>
            <w:tcW w:w="163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70mm²</w:t>
            </w:r>
          </w:p>
        </w:tc>
        <w:tc>
          <w:tcPr>
            <w:tcW w:w="74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米</w:t>
            </w:r>
          </w:p>
        </w:tc>
        <w:tc>
          <w:tcPr>
            <w:tcW w:w="90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1500</w:t>
            </w:r>
          </w:p>
        </w:tc>
        <w:tc>
          <w:tcPr>
            <w:tcW w:w="81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81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114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16"/>
                <w:szCs w:val="16"/>
              </w:rPr>
            </w:pPr>
            <w:r>
              <w:rPr>
                <w:rFonts w:hint="eastAsia" w:asciiTheme="majorEastAsia" w:hAnsiTheme="majorEastAsia" w:eastAsiaTheme="majorEastAsia" w:cstheme="majorEastAsia"/>
                <w:kern w:val="0"/>
                <w:sz w:val="16"/>
                <w:szCs w:val="16"/>
              </w:rPr>
              <w:t>　</w:t>
            </w:r>
          </w:p>
        </w:tc>
      </w:tr>
      <w:tr>
        <w:tblPrEx>
          <w:tblCellMar>
            <w:top w:w="0" w:type="dxa"/>
            <w:left w:w="108" w:type="dxa"/>
            <w:bottom w:w="0" w:type="dxa"/>
            <w:right w:w="108" w:type="dxa"/>
          </w:tblCellMar>
        </w:tblPrEx>
        <w:trPr>
          <w:trHeight w:val="345" w:hRule="atLeast"/>
        </w:trPr>
        <w:tc>
          <w:tcPr>
            <w:tcW w:w="589" w:type="dxa"/>
            <w:tcBorders>
              <w:top w:val="nil"/>
              <w:left w:val="single" w:color="auto" w:sz="4" w:space="0"/>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12</w:t>
            </w:r>
          </w:p>
        </w:tc>
        <w:tc>
          <w:tcPr>
            <w:tcW w:w="3086"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铜铝线耳</w:t>
            </w:r>
          </w:p>
        </w:tc>
        <w:tc>
          <w:tcPr>
            <w:tcW w:w="163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70mm²</w:t>
            </w:r>
          </w:p>
        </w:tc>
        <w:tc>
          <w:tcPr>
            <w:tcW w:w="74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个</w:t>
            </w:r>
          </w:p>
        </w:tc>
        <w:tc>
          <w:tcPr>
            <w:tcW w:w="90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90</w:t>
            </w:r>
          </w:p>
        </w:tc>
        <w:tc>
          <w:tcPr>
            <w:tcW w:w="81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81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114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16"/>
                <w:szCs w:val="16"/>
              </w:rPr>
            </w:pPr>
            <w:r>
              <w:rPr>
                <w:rFonts w:hint="eastAsia" w:asciiTheme="majorEastAsia" w:hAnsiTheme="majorEastAsia" w:eastAsiaTheme="majorEastAsia" w:cstheme="majorEastAsia"/>
                <w:kern w:val="0"/>
                <w:sz w:val="16"/>
                <w:szCs w:val="16"/>
              </w:rPr>
              <w:t>　</w:t>
            </w:r>
          </w:p>
        </w:tc>
      </w:tr>
      <w:tr>
        <w:tblPrEx>
          <w:tblCellMar>
            <w:top w:w="0" w:type="dxa"/>
            <w:left w:w="108" w:type="dxa"/>
            <w:bottom w:w="0" w:type="dxa"/>
            <w:right w:w="108" w:type="dxa"/>
          </w:tblCellMar>
        </w:tblPrEx>
        <w:trPr>
          <w:trHeight w:val="345" w:hRule="atLeast"/>
        </w:trPr>
        <w:tc>
          <w:tcPr>
            <w:tcW w:w="589" w:type="dxa"/>
            <w:tcBorders>
              <w:top w:val="nil"/>
              <w:left w:val="single" w:color="auto" w:sz="4" w:space="0"/>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13</w:t>
            </w:r>
          </w:p>
        </w:tc>
        <w:tc>
          <w:tcPr>
            <w:tcW w:w="3086"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双色接地线</w:t>
            </w:r>
          </w:p>
        </w:tc>
        <w:tc>
          <w:tcPr>
            <w:tcW w:w="163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35mm²</w:t>
            </w:r>
          </w:p>
        </w:tc>
        <w:tc>
          <w:tcPr>
            <w:tcW w:w="74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米</w:t>
            </w:r>
          </w:p>
        </w:tc>
        <w:tc>
          <w:tcPr>
            <w:tcW w:w="90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50</w:t>
            </w:r>
          </w:p>
        </w:tc>
        <w:tc>
          <w:tcPr>
            <w:tcW w:w="81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81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114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16"/>
                <w:szCs w:val="16"/>
              </w:rPr>
            </w:pPr>
            <w:r>
              <w:rPr>
                <w:rFonts w:hint="eastAsia" w:asciiTheme="majorEastAsia" w:hAnsiTheme="majorEastAsia" w:eastAsiaTheme="majorEastAsia" w:cstheme="majorEastAsia"/>
                <w:kern w:val="0"/>
                <w:sz w:val="16"/>
                <w:szCs w:val="16"/>
              </w:rPr>
              <w:t>　</w:t>
            </w:r>
          </w:p>
        </w:tc>
      </w:tr>
      <w:tr>
        <w:tblPrEx>
          <w:tblCellMar>
            <w:top w:w="0" w:type="dxa"/>
            <w:left w:w="108" w:type="dxa"/>
            <w:bottom w:w="0" w:type="dxa"/>
            <w:right w:w="108" w:type="dxa"/>
          </w:tblCellMar>
        </w:tblPrEx>
        <w:trPr>
          <w:trHeight w:val="360" w:hRule="atLeast"/>
        </w:trPr>
        <w:tc>
          <w:tcPr>
            <w:tcW w:w="589" w:type="dxa"/>
            <w:tcBorders>
              <w:top w:val="nil"/>
              <w:left w:val="single" w:color="auto" w:sz="4" w:space="0"/>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14</w:t>
            </w:r>
          </w:p>
        </w:tc>
        <w:tc>
          <w:tcPr>
            <w:tcW w:w="3086"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铜铝线耳</w:t>
            </w:r>
          </w:p>
        </w:tc>
        <w:tc>
          <w:tcPr>
            <w:tcW w:w="163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35mm²</w:t>
            </w:r>
          </w:p>
        </w:tc>
        <w:tc>
          <w:tcPr>
            <w:tcW w:w="74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个</w:t>
            </w:r>
          </w:p>
        </w:tc>
        <w:tc>
          <w:tcPr>
            <w:tcW w:w="90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30</w:t>
            </w:r>
          </w:p>
        </w:tc>
        <w:tc>
          <w:tcPr>
            <w:tcW w:w="81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81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1145" w:type="dxa"/>
            <w:tcBorders>
              <w:top w:val="nil"/>
              <w:left w:val="nil"/>
              <w:bottom w:val="single" w:color="auto" w:sz="4" w:space="0"/>
              <w:right w:val="single" w:color="auto" w:sz="4" w:space="0"/>
            </w:tcBorders>
            <w:noWrap/>
            <w:vAlign w:val="center"/>
          </w:tcPr>
          <w:p>
            <w:pPr>
              <w:widowControl/>
              <w:jc w:val="left"/>
              <w:rPr>
                <w:rFonts w:asciiTheme="majorEastAsia" w:hAnsiTheme="majorEastAsia" w:eastAsiaTheme="majorEastAsia" w:cstheme="majorEastAsia"/>
                <w:kern w:val="0"/>
                <w:sz w:val="16"/>
                <w:szCs w:val="16"/>
              </w:rPr>
            </w:pPr>
            <w:r>
              <w:rPr>
                <w:rFonts w:hint="eastAsia" w:asciiTheme="majorEastAsia" w:hAnsiTheme="majorEastAsia" w:eastAsiaTheme="majorEastAsia" w:cstheme="majorEastAsia"/>
                <w:kern w:val="0"/>
                <w:sz w:val="16"/>
                <w:szCs w:val="16"/>
              </w:rPr>
              <w:t>　</w:t>
            </w:r>
          </w:p>
        </w:tc>
      </w:tr>
      <w:tr>
        <w:tblPrEx>
          <w:tblCellMar>
            <w:top w:w="0" w:type="dxa"/>
            <w:left w:w="108" w:type="dxa"/>
            <w:bottom w:w="0" w:type="dxa"/>
            <w:right w:w="108" w:type="dxa"/>
          </w:tblCellMar>
        </w:tblPrEx>
        <w:trPr>
          <w:trHeight w:val="402" w:hRule="atLeast"/>
        </w:trPr>
        <w:tc>
          <w:tcPr>
            <w:tcW w:w="589" w:type="dxa"/>
            <w:tcBorders>
              <w:top w:val="nil"/>
              <w:left w:val="single" w:color="auto" w:sz="4" w:space="0"/>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15</w:t>
            </w:r>
          </w:p>
        </w:tc>
        <w:tc>
          <w:tcPr>
            <w:tcW w:w="3086"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拉线</w:t>
            </w:r>
          </w:p>
        </w:tc>
        <w:tc>
          <w:tcPr>
            <w:tcW w:w="163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50mm²</w:t>
            </w:r>
          </w:p>
        </w:tc>
        <w:tc>
          <w:tcPr>
            <w:tcW w:w="74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付</w:t>
            </w:r>
          </w:p>
        </w:tc>
        <w:tc>
          <w:tcPr>
            <w:tcW w:w="90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14</w:t>
            </w:r>
          </w:p>
        </w:tc>
        <w:tc>
          <w:tcPr>
            <w:tcW w:w="81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tc>
        <w:tc>
          <w:tcPr>
            <w:tcW w:w="81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1145" w:type="dxa"/>
            <w:tcBorders>
              <w:top w:val="nil"/>
              <w:left w:val="nil"/>
              <w:bottom w:val="single" w:color="auto" w:sz="4" w:space="0"/>
              <w:right w:val="single" w:color="auto" w:sz="4" w:space="0"/>
            </w:tcBorders>
            <w:noWrap/>
            <w:vAlign w:val="center"/>
          </w:tcPr>
          <w:p>
            <w:pPr>
              <w:widowControl/>
              <w:jc w:val="left"/>
              <w:rPr>
                <w:rFonts w:asciiTheme="majorEastAsia" w:hAnsiTheme="majorEastAsia" w:eastAsiaTheme="majorEastAsia" w:cstheme="majorEastAsia"/>
                <w:kern w:val="0"/>
                <w:sz w:val="16"/>
                <w:szCs w:val="16"/>
              </w:rPr>
            </w:pPr>
            <w:r>
              <w:rPr>
                <w:rFonts w:hint="eastAsia" w:asciiTheme="majorEastAsia" w:hAnsiTheme="majorEastAsia" w:eastAsiaTheme="majorEastAsia" w:cstheme="majorEastAsia"/>
                <w:kern w:val="0"/>
                <w:sz w:val="16"/>
                <w:szCs w:val="16"/>
              </w:rPr>
              <w:t>　</w:t>
            </w:r>
          </w:p>
        </w:tc>
      </w:tr>
      <w:tr>
        <w:tblPrEx>
          <w:tblCellMar>
            <w:top w:w="0" w:type="dxa"/>
            <w:left w:w="108" w:type="dxa"/>
            <w:bottom w:w="0" w:type="dxa"/>
            <w:right w:w="108" w:type="dxa"/>
          </w:tblCellMar>
        </w:tblPrEx>
        <w:trPr>
          <w:trHeight w:val="360" w:hRule="atLeast"/>
        </w:trPr>
        <w:tc>
          <w:tcPr>
            <w:tcW w:w="589" w:type="dxa"/>
            <w:tcBorders>
              <w:top w:val="nil"/>
              <w:left w:val="single" w:color="auto" w:sz="4" w:space="0"/>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16</w:t>
            </w:r>
          </w:p>
        </w:tc>
        <w:tc>
          <w:tcPr>
            <w:tcW w:w="3086"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水泥电杆</w:t>
            </w:r>
          </w:p>
        </w:tc>
        <w:tc>
          <w:tcPr>
            <w:tcW w:w="163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12米</w:t>
            </w:r>
          </w:p>
        </w:tc>
        <w:tc>
          <w:tcPr>
            <w:tcW w:w="74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条</w:t>
            </w:r>
          </w:p>
        </w:tc>
        <w:tc>
          <w:tcPr>
            <w:tcW w:w="90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10</w:t>
            </w:r>
          </w:p>
        </w:tc>
        <w:tc>
          <w:tcPr>
            <w:tcW w:w="81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81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114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16"/>
                <w:szCs w:val="16"/>
              </w:rPr>
            </w:pPr>
          </w:p>
        </w:tc>
      </w:tr>
      <w:tr>
        <w:tblPrEx>
          <w:tblCellMar>
            <w:top w:w="0" w:type="dxa"/>
            <w:left w:w="108" w:type="dxa"/>
            <w:bottom w:w="0" w:type="dxa"/>
            <w:right w:w="108" w:type="dxa"/>
          </w:tblCellMar>
        </w:tblPrEx>
        <w:trPr>
          <w:trHeight w:val="360" w:hRule="atLeast"/>
        </w:trPr>
        <w:tc>
          <w:tcPr>
            <w:tcW w:w="589" w:type="dxa"/>
            <w:tcBorders>
              <w:top w:val="nil"/>
              <w:left w:val="single" w:color="auto" w:sz="4" w:space="0"/>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17</w:t>
            </w:r>
          </w:p>
        </w:tc>
        <w:tc>
          <w:tcPr>
            <w:tcW w:w="3086"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高压设备试验费</w:t>
            </w:r>
          </w:p>
        </w:tc>
        <w:tc>
          <w:tcPr>
            <w:tcW w:w="163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w:t>
            </w:r>
          </w:p>
        </w:tc>
        <w:tc>
          <w:tcPr>
            <w:tcW w:w="74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项</w:t>
            </w:r>
          </w:p>
        </w:tc>
        <w:tc>
          <w:tcPr>
            <w:tcW w:w="90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w:t>
            </w:r>
          </w:p>
        </w:tc>
        <w:tc>
          <w:tcPr>
            <w:tcW w:w="81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81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114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16"/>
                <w:szCs w:val="16"/>
              </w:rPr>
            </w:pPr>
          </w:p>
        </w:tc>
      </w:tr>
      <w:tr>
        <w:tblPrEx>
          <w:tblCellMar>
            <w:top w:w="0" w:type="dxa"/>
            <w:left w:w="108" w:type="dxa"/>
            <w:bottom w:w="0" w:type="dxa"/>
            <w:right w:w="108" w:type="dxa"/>
          </w:tblCellMar>
        </w:tblPrEx>
        <w:trPr>
          <w:trHeight w:val="420" w:hRule="atLeast"/>
        </w:trPr>
        <w:tc>
          <w:tcPr>
            <w:tcW w:w="589" w:type="dxa"/>
            <w:tcBorders>
              <w:top w:val="nil"/>
              <w:left w:val="single" w:color="auto" w:sz="4" w:space="0"/>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18</w:t>
            </w:r>
          </w:p>
        </w:tc>
        <w:tc>
          <w:tcPr>
            <w:tcW w:w="3086"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变压器维护（注油）</w:t>
            </w:r>
          </w:p>
        </w:tc>
        <w:tc>
          <w:tcPr>
            <w:tcW w:w="163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w:t>
            </w:r>
          </w:p>
        </w:tc>
        <w:tc>
          <w:tcPr>
            <w:tcW w:w="74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项</w:t>
            </w:r>
          </w:p>
        </w:tc>
        <w:tc>
          <w:tcPr>
            <w:tcW w:w="90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w:t>
            </w:r>
          </w:p>
        </w:tc>
        <w:tc>
          <w:tcPr>
            <w:tcW w:w="81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81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1145"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16"/>
                <w:szCs w:val="16"/>
              </w:rPr>
            </w:pPr>
          </w:p>
        </w:tc>
      </w:tr>
      <w:tr>
        <w:tblPrEx>
          <w:tblCellMar>
            <w:top w:w="0" w:type="dxa"/>
            <w:left w:w="108" w:type="dxa"/>
            <w:bottom w:w="0" w:type="dxa"/>
            <w:right w:w="108" w:type="dxa"/>
          </w:tblCellMar>
        </w:tblPrEx>
        <w:trPr>
          <w:trHeight w:val="360" w:hRule="atLeast"/>
        </w:trPr>
        <w:tc>
          <w:tcPr>
            <w:tcW w:w="589" w:type="dxa"/>
            <w:tcBorders>
              <w:top w:val="nil"/>
              <w:left w:val="single" w:color="auto" w:sz="4" w:space="0"/>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19</w:t>
            </w:r>
          </w:p>
        </w:tc>
        <w:tc>
          <w:tcPr>
            <w:tcW w:w="3086"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更换并网低压铜出线</w:t>
            </w:r>
          </w:p>
        </w:tc>
        <w:tc>
          <w:tcPr>
            <w:tcW w:w="163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240mm</w:t>
            </w:r>
          </w:p>
        </w:tc>
        <w:tc>
          <w:tcPr>
            <w:tcW w:w="74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米</w:t>
            </w:r>
          </w:p>
        </w:tc>
        <w:tc>
          <w:tcPr>
            <w:tcW w:w="90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200</w:t>
            </w:r>
          </w:p>
        </w:tc>
        <w:tc>
          <w:tcPr>
            <w:tcW w:w="815" w:type="dxa"/>
            <w:tcBorders>
              <w:top w:val="nil"/>
              <w:left w:val="nil"/>
              <w:bottom w:val="single" w:color="auto" w:sz="4" w:space="0"/>
              <w:right w:val="single" w:color="auto" w:sz="4" w:space="0"/>
            </w:tcBorders>
            <w:noWrap/>
            <w:vAlign w:val="center"/>
          </w:tcPr>
          <w:p>
            <w:pPr>
              <w:widowControl/>
              <w:jc w:val="left"/>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　</w:t>
            </w:r>
          </w:p>
        </w:tc>
        <w:tc>
          <w:tcPr>
            <w:tcW w:w="81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1145" w:type="dxa"/>
            <w:tcBorders>
              <w:top w:val="nil"/>
              <w:left w:val="nil"/>
              <w:bottom w:val="single" w:color="auto" w:sz="4" w:space="0"/>
              <w:right w:val="single" w:color="auto" w:sz="4" w:space="0"/>
            </w:tcBorders>
            <w:noWrap/>
            <w:vAlign w:val="center"/>
          </w:tcPr>
          <w:p>
            <w:pPr>
              <w:widowControl/>
              <w:jc w:val="left"/>
              <w:rPr>
                <w:rFonts w:asciiTheme="majorEastAsia" w:hAnsiTheme="majorEastAsia" w:eastAsiaTheme="majorEastAsia" w:cstheme="majorEastAsia"/>
                <w:kern w:val="0"/>
                <w:sz w:val="16"/>
                <w:szCs w:val="16"/>
              </w:rPr>
            </w:pPr>
            <w:r>
              <w:rPr>
                <w:rFonts w:hint="eastAsia" w:asciiTheme="majorEastAsia" w:hAnsiTheme="majorEastAsia" w:eastAsiaTheme="majorEastAsia" w:cstheme="majorEastAsia"/>
                <w:kern w:val="0"/>
                <w:sz w:val="16"/>
                <w:szCs w:val="16"/>
              </w:rPr>
              <w:t>　</w:t>
            </w:r>
          </w:p>
        </w:tc>
      </w:tr>
      <w:tr>
        <w:tblPrEx>
          <w:tblCellMar>
            <w:top w:w="0" w:type="dxa"/>
            <w:left w:w="108" w:type="dxa"/>
            <w:bottom w:w="0" w:type="dxa"/>
            <w:right w:w="108" w:type="dxa"/>
          </w:tblCellMar>
        </w:tblPrEx>
        <w:trPr>
          <w:trHeight w:val="360" w:hRule="atLeast"/>
        </w:trPr>
        <w:tc>
          <w:tcPr>
            <w:tcW w:w="589" w:type="dxa"/>
            <w:tcBorders>
              <w:top w:val="nil"/>
              <w:left w:val="single" w:color="auto" w:sz="4" w:space="0"/>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二</w:t>
            </w:r>
          </w:p>
        </w:tc>
        <w:tc>
          <w:tcPr>
            <w:tcW w:w="9132" w:type="dxa"/>
            <w:gridSpan w:val="7"/>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b/>
                <w:kern w:val="0"/>
                <w:sz w:val="24"/>
                <w:szCs w:val="24"/>
              </w:rPr>
            </w:pPr>
            <w:r>
              <w:rPr>
                <w:rFonts w:hint="eastAsia" w:asciiTheme="majorEastAsia" w:hAnsiTheme="majorEastAsia" w:eastAsiaTheme="majorEastAsia" w:cstheme="majorEastAsia"/>
                <w:b/>
                <w:kern w:val="0"/>
                <w:sz w:val="24"/>
                <w:szCs w:val="24"/>
              </w:rPr>
              <w:t>安装、试验费</w:t>
            </w:r>
          </w:p>
        </w:tc>
      </w:tr>
      <w:tr>
        <w:tblPrEx>
          <w:tblCellMar>
            <w:top w:w="0" w:type="dxa"/>
            <w:left w:w="108" w:type="dxa"/>
            <w:bottom w:w="0" w:type="dxa"/>
            <w:right w:w="108" w:type="dxa"/>
          </w:tblCellMar>
        </w:tblPrEx>
        <w:trPr>
          <w:trHeight w:val="360" w:hRule="atLeast"/>
        </w:trPr>
        <w:tc>
          <w:tcPr>
            <w:tcW w:w="589" w:type="dxa"/>
            <w:tcBorders>
              <w:top w:val="nil"/>
              <w:left w:val="single" w:color="auto" w:sz="4" w:space="0"/>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w:t>
            </w:r>
          </w:p>
        </w:tc>
        <w:tc>
          <w:tcPr>
            <w:tcW w:w="3086"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拆装费、试验费</w:t>
            </w:r>
          </w:p>
        </w:tc>
        <w:tc>
          <w:tcPr>
            <w:tcW w:w="163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74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项</w:t>
            </w:r>
          </w:p>
        </w:tc>
        <w:tc>
          <w:tcPr>
            <w:tcW w:w="90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815" w:type="dxa"/>
            <w:tcBorders>
              <w:top w:val="nil"/>
              <w:left w:val="nil"/>
              <w:bottom w:val="single" w:color="auto" w:sz="4" w:space="0"/>
              <w:right w:val="single" w:color="auto" w:sz="4" w:space="0"/>
            </w:tcBorders>
            <w:noWrap/>
            <w:vAlign w:val="center"/>
          </w:tcPr>
          <w:p>
            <w:pPr>
              <w:widowControl/>
              <w:jc w:val="left"/>
              <w:rPr>
                <w:rFonts w:asciiTheme="majorEastAsia" w:hAnsiTheme="majorEastAsia" w:eastAsiaTheme="majorEastAsia" w:cstheme="majorEastAsia"/>
                <w:kern w:val="0"/>
                <w:sz w:val="24"/>
              </w:rPr>
            </w:pPr>
          </w:p>
        </w:tc>
        <w:tc>
          <w:tcPr>
            <w:tcW w:w="81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1145" w:type="dxa"/>
            <w:tcBorders>
              <w:top w:val="nil"/>
              <w:left w:val="nil"/>
              <w:bottom w:val="single" w:color="auto" w:sz="4" w:space="0"/>
              <w:right w:val="single" w:color="auto" w:sz="4" w:space="0"/>
            </w:tcBorders>
            <w:noWrap/>
            <w:vAlign w:val="center"/>
          </w:tcPr>
          <w:p>
            <w:pPr>
              <w:widowControl/>
              <w:jc w:val="left"/>
              <w:rPr>
                <w:rFonts w:asciiTheme="majorEastAsia" w:hAnsiTheme="majorEastAsia" w:eastAsiaTheme="majorEastAsia" w:cstheme="majorEastAsia"/>
                <w:kern w:val="0"/>
                <w:sz w:val="16"/>
                <w:szCs w:val="16"/>
              </w:rPr>
            </w:pPr>
          </w:p>
        </w:tc>
      </w:tr>
      <w:tr>
        <w:tblPrEx>
          <w:tblCellMar>
            <w:top w:w="0" w:type="dxa"/>
            <w:left w:w="108" w:type="dxa"/>
            <w:bottom w:w="0" w:type="dxa"/>
            <w:right w:w="108" w:type="dxa"/>
          </w:tblCellMar>
        </w:tblPrEx>
        <w:trPr>
          <w:trHeight w:val="360" w:hRule="atLeast"/>
        </w:trPr>
        <w:tc>
          <w:tcPr>
            <w:tcW w:w="589" w:type="dxa"/>
            <w:tcBorders>
              <w:top w:val="nil"/>
              <w:left w:val="single" w:color="auto" w:sz="4" w:space="0"/>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三</w:t>
            </w:r>
          </w:p>
        </w:tc>
        <w:tc>
          <w:tcPr>
            <w:tcW w:w="3086"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b/>
                <w:kern w:val="0"/>
                <w:sz w:val="24"/>
                <w:szCs w:val="24"/>
              </w:rPr>
              <w:t>管理费</w:t>
            </w:r>
          </w:p>
        </w:tc>
        <w:tc>
          <w:tcPr>
            <w:tcW w:w="163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74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项</w:t>
            </w:r>
          </w:p>
        </w:tc>
        <w:tc>
          <w:tcPr>
            <w:tcW w:w="90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w:t>
            </w:r>
          </w:p>
        </w:tc>
        <w:tc>
          <w:tcPr>
            <w:tcW w:w="815" w:type="dxa"/>
            <w:tcBorders>
              <w:top w:val="nil"/>
              <w:left w:val="nil"/>
              <w:bottom w:val="single" w:color="auto" w:sz="4" w:space="0"/>
              <w:right w:val="single" w:color="auto" w:sz="4" w:space="0"/>
            </w:tcBorders>
            <w:noWrap/>
            <w:vAlign w:val="center"/>
          </w:tcPr>
          <w:p>
            <w:pPr>
              <w:widowControl/>
              <w:jc w:val="left"/>
              <w:rPr>
                <w:rFonts w:asciiTheme="majorEastAsia" w:hAnsiTheme="majorEastAsia" w:eastAsiaTheme="majorEastAsia" w:cstheme="majorEastAsia"/>
                <w:kern w:val="0"/>
                <w:sz w:val="24"/>
              </w:rPr>
            </w:pPr>
          </w:p>
        </w:tc>
        <w:tc>
          <w:tcPr>
            <w:tcW w:w="81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1145" w:type="dxa"/>
            <w:tcBorders>
              <w:top w:val="nil"/>
              <w:left w:val="nil"/>
              <w:bottom w:val="single" w:color="auto" w:sz="4" w:space="0"/>
              <w:right w:val="single" w:color="auto" w:sz="4" w:space="0"/>
            </w:tcBorders>
            <w:noWrap/>
            <w:vAlign w:val="center"/>
          </w:tcPr>
          <w:p>
            <w:pPr>
              <w:widowControl/>
              <w:jc w:val="left"/>
              <w:rPr>
                <w:rFonts w:asciiTheme="majorEastAsia" w:hAnsiTheme="majorEastAsia" w:eastAsiaTheme="majorEastAsia" w:cstheme="majorEastAsia"/>
                <w:kern w:val="0"/>
                <w:sz w:val="16"/>
                <w:szCs w:val="16"/>
              </w:rPr>
            </w:pPr>
          </w:p>
        </w:tc>
      </w:tr>
      <w:tr>
        <w:tblPrEx>
          <w:tblCellMar>
            <w:top w:w="0" w:type="dxa"/>
            <w:left w:w="108" w:type="dxa"/>
            <w:bottom w:w="0" w:type="dxa"/>
            <w:right w:w="108" w:type="dxa"/>
          </w:tblCellMar>
        </w:tblPrEx>
        <w:trPr>
          <w:trHeight w:val="360" w:hRule="atLeast"/>
        </w:trPr>
        <w:tc>
          <w:tcPr>
            <w:tcW w:w="589" w:type="dxa"/>
            <w:tcBorders>
              <w:top w:val="nil"/>
              <w:left w:val="single" w:color="auto" w:sz="4" w:space="0"/>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四</w:t>
            </w:r>
          </w:p>
        </w:tc>
        <w:tc>
          <w:tcPr>
            <w:tcW w:w="3086"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b/>
                <w:kern w:val="0"/>
                <w:sz w:val="24"/>
                <w:szCs w:val="24"/>
              </w:rPr>
              <w:t>利润</w:t>
            </w:r>
          </w:p>
        </w:tc>
        <w:tc>
          <w:tcPr>
            <w:tcW w:w="163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74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项</w:t>
            </w:r>
          </w:p>
        </w:tc>
        <w:tc>
          <w:tcPr>
            <w:tcW w:w="900"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r>
              <w:rPr>
                <w:rFonts w:hint="eastAsia" w:asciiTheme="majorEastAsia" w:hAnsiTheme="majorEastAsia" w:eastAsiaTheme="majorEastAsia" w:cstheme="majorEastAsia"/>
                <w:kern w:val="0"/>
                <w:sz w:val="24"/>
              </w:rPr>
              <w:t>1</w:t>
            </w:r>
          </w:p>
        </w:tc>
        <w:tc>
          <w:tcPr>
            <w:tcW w:w="815" w:type="dxa"/>
            <w:tcBorders>
              <w:top w:val="nil"/>
              <w:left w:val="nil"/>
              <w:bottom w:val="single" w:color="auto" w:sz="4" w:space="0"/>
              <w:right w:val="single" w:color="auto" w:sz="4" w:space="0"/>
            </w:tcBorders>
            <w:noWrap/>
            <w:vAlign w:val="center"/>
          </w:tcPr>
          <w:p>
            <w:pPr>
              <w:widowControl/>
              <w:jc w:val="left"/>
              <w:rPr>
                <w:rFonts w:asciiTheme="majorEastAsia" w:hAnsiTheme="majorEastAsia" w:eastAsiaTheme="majorEastAsia" w:cstheme="majorEastAsia"/>
                <w:kern w:val="0"/>
                <w:sz w:val="24"/>
              </w:rPr>
            </w:pPr>
          </w:p>
        </w:tc>
        <w:tc>
          <w:tcPr>
            <w:tcW w:w="813" w:type="dxa"/>
            <w:tcBorders>
              <w:top w:val="nil"/>
              <w:left w:val="nil"/>
              <w:bottom w:val="single" w:color="auto" w:sz="4" w:space="0"/>
              <w:right w:val="single" w:color="auto" w:sz="4" w:space="0"/>
            </w:tcBorders>
            <w:noWrap/>
            <w:vAlign w:val="center"/>
          </w:tcPr>
          <w:p>
            <w:pPr>
              <w:widowControl/>
              <w:jc w:val="center"/>
              <w:rPr>
                <w:rFonts w:asciiTheme="majorEastAsia" w:hAnsiTheme="majorEastAsia" w:eastAsiaTheme="majorEastAsia" w:cstheme="majorEastAsia"/>
                <w:kern w:val="0"/>
                <w:sz w:val="24"/>
              </w:rPr>
            </w:pPr>
          </w:p>
        </w:tc>
        <w:tc>
          <w:tcPr>
            <w:tcW w:w="1145" w:type="dxa"/>
            <w:tcBorders>
              <w:top w:val="nil"/>
              <w:left w:val="nil"/>
              <w:bottom w:val="single" w:color="auto" w:sz="4" w:space="0"/>
              <w:right w:val="single" w:color="auto" w:sz="4" w:space="0"/>
            </w:tcBorders>
            <w:noWrap/>
            <w:vAlign w:val="center"/>
          </w:tcPr>
          <w:p>
            <w:pPr>
              <w:widowControl/>
              <w:jc w:val="left"/>
              <w:rPr>
                <w:rFonts w:asciiTheme="majorEastAsia" w:hAnsiTheme="majorEastAsia" w:eastAsiaTheme="majorEastAsia" w:cstheme="majorEastAsia"/>
                <w:kern w:val="0"/>
                <w:sz w:val="16"/>
                <w:szCs w:val="16"/>
              </w:rPr>
            </w:pPr>
          </w:p>
        </w:tc>
      </w:tr>
      <w:tr>
        <w:tblPrEx>
          <w:tblCellMar>
            <w:top w:w="0" w:type="dxa"/>
            <w:left w:w="108" w:type="dxa"/>
            <w:bottom w:w="0" w:type="dxa"/>
            <w:right w:w="108" w:type="dxa"/>
          </w:tblCellMar>
        </w:tblPrEx>
        <w:trPr>
          <w:trHeight w:val="360" w:hRule="atLeast"/>
        </w:trPr>
        <w:tc>
          <w:tcPr>
            <w:tcW w:w="7763" w:type="dxa"/>
            <w:gridSpan w:val="6"/>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24"/>
              </w:rPr>
            </w:pPr>
            <w:r>
              <w:rPr>
                <w:rFonts w:hint="eastAsia" w:ascii="宋体" w:hAnsi="宋体" w:cs="宋体"/>
                <w:kern w:val="0"/>
                <w:sz w:val="24"/>
              </w:rPr>
              <w:t>合计（元）</w:t>
            </w:r>
          </w:p>
        </w:tc>
        <w:tc>
          <w:tcPr>
            <w:tcW w:w="813"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p>
        </w:tc>
        <w:tc>
          <w:tcPr>
            <w:tcW w:w="1145"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p>
        </w:tc>
      </w:tr>
      <w:tr>
        <w:tblPrEx>
          <w:tblCellMar>
            <w:top w:w="0" w:type="dxa"/>
            <w:left w:w="108" w:type="dxa"/>
            <w:bottom w:w="0" w:type="dxa"/>
            <w:right w:w="108" w:type="dxa"/>
          </w:tblCellMar>
        </w:tblPrEx>
        <w:trPr>
          <w:trHeight w:val="642" w:hRule="atLeast"/>
        </w:trPr>
        <w:tc>
          <w:tcPr>
            <w:tcW w:w="9721" w:type="dxa"/>
            <w:gridSpan w:val="8"/>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36"/>
                <w:szCs w:val="36"/>
              </w:rPr>
            </w:pPr>
            <w:r>
              <w:rPr>
                <w:rFonts w:hint="eastAsia" w:ascii="宋体" w:hAnsi="宋体" w:cs="宋体"/>
                <w:kern w:val="0"/>
                <w:sz w:val="36"/>
                <w:szCs w:val="36"/>
              </w:rPr>
              <w:t>投标总价（不含税）人民币：</w:t>
            </w:r>
            <w:r>
              <w:rPr>
                <w:rFonts w:ascii="宋体" w:hAnsi="宋体" w:cs="宋体"/>
                <w:kern w:val="0"/>
                <w:sz w:val="36"/>
                <w:szCs w:val="36"/>
              </w:rPr>
              <w:t xml:space="preserve">         </w:t>
            </w:r>
            <w:r>
              <w:rPr>
                <w:rFonts w:hint="eastAsia" w:ascii="宋体" w:hAnsi="宋体" w:cs="宋体"/>
                <w:kern w:val="0"/>
                <w:sz w:val="36"/>
                <w:szCs w:val="36"/>
              </w:rPr>
              <w:t>元</w:t>
            </w:r>
          </w:p>
        </w:tc>
      </w:tr>
    </w:tbl>
    <w:p>
      <w:pPr>
        <w:ind w:right="1960"/>
        <w:rPr>
          <w:rFonts w:ascii="宋体"/>
          <w:sz w:val="28"/>
          <w:szCs w:val="28"/>
        </w:rPr>
      </w:pPr>
    </w:p>
    <w:p>
      <w:pPr>
        <w:ind w:right="1960"/>
        <w:jc w:val="right"/>
        <w:rPr>
          <w:rFonts w:ascii="宋体"/>
          <w:sz w:val="28"/>
          <w:szCs w:val="28"/>
        </w:rPr>
      </w:pPr>
      <w:r>
        <w:rPr>
          <w:rFonts w:hint="eastAsia" w:ascii="宋体"/>
          <w:sz w:val="28"/>
          <w:szCs w:val="28"/>
        </w:rPr>
        <w:t>投标单位：</w:t>
      </w:r>
    </w:p>
    <w:p>
      <w:pPr>
        <w:ind w:right="1960"/>
        <w:jc w:val="right"/>
        <w:rPr>
          <w:rFonts w:ascii="宋体"/>
          <w:sz w:val="28"/>
          <w:szCs w:val="28"/>
        </w:rPr>
      </w:pPr>
      <w:r>
        <w:rPr>
          <w:rFonts w:hint="eastAsia" w:ascii="宋体"/>
          <w:sz w:val="28"/>
          <w:szCs w:val="28"/>
        </w:rPr>
        <w:t>日期：</w:t>
      </w:r>
    </w:p>
    <w:p>
      <w:pPr>
        <w:ind w:right="1960"/>
        <w:rPr>
          <w:rFonts w:ascii="宋体"/>
          <w:sz w:val="28"/>
          <w:szCs w:val="28"/>
        </w:rPr>
      </w:pPr>
      <w:r>
        <w:rPr>
          <w:rFonts w:ascii="宋体" w:hAnsi="宋体"/>
          <w:sz w:val="28"/>
          <w:szCs w:val="28"/>
        </w:rPr>
        <w:t xml:space="preserve">                                                                                                          </w:t>
      </w:r>
    </w:p>
    <w:sectPr>
      <w:footerReference r:id="rId3" w:type="default"/>
      <w:pgSz w:w="11906" w:h="16838"/>
      <w:pgMar w:top="1003" w:right="1060" w:bottom="1003" w:left="10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2</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139B7C"/>
    <w:multiLevelType w:val="singleLevel"/>
    <w:tmpl w:val="84139B7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0B"/>
    <w:rsid w:val="00007CE9"/>
    <w:rsid w:val="00014247"/>
    <w:rsid w:val="0001514E"/>
    <w:rsid w:val="00021275"/>
    <w:rsid w:val="00021507"/>
    <w:rsid w:val="00036D34"/>
    <w:rsid w:val="00043D36"/>
    <w:rsid w:val="000520F9"/>
    <w:rsid w:val="00065142"/>
    <w:rsid w:val="00065B89"/>
    <w:rsid w:val="000A1B8C"/>
    <w:rsid w:val="000A42E6"/>
    <w:rsid w:val="000C3438"/>
    <w:rsid w:val="000D2D0F"/>
    <w:rsid w:val="000D6096"/>
    <w:rsid w:val="000D72CF"/>
    <w:rsid w:val="000E777E"/>
    <w:rsid w:val="000F1888"/>
    <w:rsid w:val="000F1ED3"/>
    <w:rsid w:val="000F533B"/>
    <w:rsid w:val="000F6CA3"/>
    <w:rsid w:val="001017A7"/>
    <w:rsid w:val="00116AD1"/>
    <w:rsid w:val="0012164E"/>
    <w:rsid w:val="0015733B"/>
    <w:rsid w:val="0016569E"/>
    <w:rsid w:val="00165F24"/>
    <w:rsid w:val="00170208"/>
    <w:rsid w:val="00186DB8"/>
    <w:rsid w:val="0019578D"/>
    <w:rsid w:val="001A360C"/>
    <w:rsid w:val="001B3F28"/>
    <w:rsid w:val="001D20E1"/>
    <w:rsid w:val="001D3AF3"/>
    <w:rsid w:val="001D5CC2"/>
    <w:rsid w:val="001D6ED9"/>
    <w:rsid w:val="001F30A7"/>
    <w:rsid w:val="001F4EDE"/>
    <w:rsid w:val="001F751A"/>
    <w:rsid w:val="001F7A8F"/>
    <w:rsid w:val="00206EF4"/>
    <w:rsid w:val="00214C80"/>
    <w:rsid w:val="0021720B"/>
    <w:rsid w:val="002201CE"/>
    <w:rsid w:val="00220654"/>
    <w:rsid w:val="00232DED"/>
    <w:rsid w:val="00243611"/>
    <w:rsid w:val="0028034D"/>
    <w:rsid w:val="00286674"/>
    <w:rsid w:val="0029658B"/>
    <w:rsid w:val="002B1519"/>
    <w:rsid w:val="002B2FD6"/>
    <w:rsid w:val="002B4040"/>
    <w:rsid w:val="002C6C89"/>
    <w:rsid w:val="002D0787"/>
    <w:rsid w:val="002D7D0E"/>
    <w:rsid w:val="002F38B3"/>
    <w:rsid w:val="002F5B95"/>
    <w:rsid w:val="002F7A9F"/>
    <w:rsid w:val="00332670"/>
    <w:rsid w:val="003502E8"/>
    <w:rsid w:val="003733F4"/>
    <w:rsid w:val="00375FC5"/>
    <w:rsid w:val="00376EEF"/>
    <w:rsid w:val="003829D4"/>
    <w:rsid w:val="00385F77"/>
    <w:rsid w:val="00390D19"/>
    <w:rsid w:val="003924C6"/>
    <w:rsid w:val="003A1CDA"/>
    <w:rsid w:val="003B6227"/>
    <w:rsid w:val="003F3F16"/>
    <w:rsid w:val="003F472E"/>
    <w:rsid w:val="0042337E"/>
    <w:rsid w:val="004350F7"/>
    <w:rsid w:val="00441147"/>
    <w:rsid w:val="00443FEC"/>
    <w:rsid w:val="00453102"/>
    <w:rsid w:val="00460CF0"/>
    <w:rsid w:val="004627BF"/>
    <w:rsid w:val="0046676C"/>
    <w:rsid w:val="0047278C"/>
    <w:rsid w:val="004737F3"/>
    <w:rsid w:val="00474466"/>
    <w:rsid w:val="0049596F"/>
    <w:rsid w:val="004A6A09"/>
    <w:rsid w:val="004B134D"/>
    <w:rsid w:val="004B7D58"/>
    <w:rsid w:val="004D2A5A"/>
    <w:rsid w:val="004D4950"/>
    <w:rsid w:val="004D7784"/>
    <w:rsid w:val="004F5150"/>
    <w:rsid w:val="004F7A47"/>
    <w:rsid w:val="005056F5"/>
    <w:rsid w:val="005117E5"/>
    <w:rsid w:val="00526631"/>
    <w:rsid w:val="00527CA2"/>
    <w:rsid w:val="00557129"/>
    <w:rsid w:val="005605AE"/>
    <w:rsid w:val="00582552"/>
    <w:rsid w:val="0059423E"/>
    <w:rsid w:val="00594424"/>
    <w:rsid w:val="005A320C"/>
    <w:rsid w:val="005F0A88"/>
    <w:rsid w:val="006161FC"/>
    <w:rsid w:val="00624D1B"/>
    <w:rsid w:val="00625932"/>
    <w:rsid w:val="00635CE6"/>
    <w:rsid w:val="006538AC"/>
    <w:rsid w:val="00653AB2"/>
    <w:rsid w:val="006668B9"/>
    <w:rsid w:val="006735F0"/>
    <w:rsid w:val="00693289"/>
    <w:rsid w:val="00696496"/>
    <w:rsid w:val="006A2D26"/>
    <w:rsid w:val="006A5FE3"/>
    <w:rsid w:val="006B0F7B"/>
    <w:rsid w:val="006D4B7E"/>
    <w:rsid w:val="006D6C70"/>
    <w:rsid w:val="006E2DEA"/>
    <w:rsid w:val="006F11B0"/>
    <w:rsid w:val="0070393C"/>
    <w:rsid w:val="007070D0"/>
    <w:rsid w:val="00714CE0"/>
    <w:rsid w:val="00726687"/>
    <w:rsid w:val="007315B4"/>
    <w:rsid w:val="00733903"/>
    <w:rsid w:val="00750CE8"/>
    <w:rsid w:val="00763663"/>
    <w:rsid w:val="00766030"/>
    <w:rsid w:val="0077405C"/>
    <w:rsid w:val="00780F6A"/>
    <w:rsid w:val="0078311C"/>
    <w:rsid w:val="00791D30"/>
    <w:rsid w:val="007A0377"/>
    <w:rsid w:val="007A53E8"/>
    <w:rsid w:val="007A74DF"/>
    <w:rsid w:val="007B1FB1"/>
    <w:rsid w:val="007C1966"/>
    <w:rsid w:val="007D0B91"/>
    <w:rsid w:val="007D107F"/>
    <w:rsid w:val="007D2B6A"/>
    <w:rsid w:val="007D4979"/>
    <w:rsid w:val="007F770A"/>
    <w:rsid w:val="008252E6"/>
    <w:rsid w:val="008655F3"/>
    <w:rsid w:val="00871009"/>
    <w:rsid w:val="00886B9A"/>
    <w:rsid w:val="00890FAF"/>
    <w:rsid w:val="00902B30"/>
    <w:rsid w:val="00903B85"/>
    <w:rsid w:val="00925200"/>
    <w:rsid w:val="00926B14"/>
    <w:rsid w:val="00935F85"/>
    <w:rsid w:val="009479C5"/>
    <w:rsid w:val="00956C9F"/>
    <w:rsid w:val="00976FAC"/>
    <w:rsid w:val="00977BDD"/>
    <w:rsid w:val="009848D8"/>
    <w:rsid w:val="00985F08"/>
    <w:rsid w:val="009A414C"/>
    <w:rsid w:val="009A48CA"/>
    <w:rsid w:val="009B3229"/>
    <w:rsid w:val="009C62D1"/>
    <w:rsid w:val="009E7A77"/>
    <w:rsid w:val="009F087F"/>
    <w:rsid w:val="009F21DA"/>
    <w:rsid w:val="009F6179"/>
    <w:rsid w:val="009F74CC"/>
    <w:rsid w:val="00A07BF5"/>
    <w:rsid w:val="00A1624E"/>
    <w:rsid w:val="00A23CB0"/>
    <w:rsid w:val="00A24395"/>
    <w:rsid w:val="00A24B98"/>
    <w:rsid w:val="00A26606"/>
    <w:rsid w:val="00A473B1"/>
    <w:rsid w:val="00A6231D"/>
    <w:rsid w:val="00A75E26"/>
    <w:rsid w:val="00A77D7F"/>
    <w:rsid w:val="00A80BAD"/>
    <w:rsid w:val="00A932EF"/>
    <w:rsid w:val="00AA5CE9"/>
    <w:rsid w:val="00AB1A24"/>
    <w:rsid w:val="00AB66F4"/>
    <w:rsid w:val="00AC796B"/>
    <w:rsid w:val="00AD3FED"/>
    <w:rsid w:val="00AE3EFE"/>
    <w:rsid w:val="00AF103D"/>
    <w:rsid w:val="00AF53DB"/>
    <w:rsid w:val="00B027BC"/>
    <w:rsid w:val="00B06532"/>
    <w:rsid w:val="00B154D7"/>
    <w:rsid w:val="00B2736F"/>
    <w:rsid w:val="00B2782F"/>
    <w:rsid w:val="00B3656C"/>
    <w:rsid w:val="00B54011"/>
    <w:rsid w:val="00B60E8C"/>
    <w:rsid w:val="00B61747"/>
    <w:rsid w:val="00B80A03"/>
    <w:rsid w:val="00B8558F"/>
    <w:rsid w:val="00B866FD"/>
    <w:rsid w:val="00B87815"/>
    <w:rsid w:val="00B91FB2"/>
    <w:rsid w:val="00B97972"/>
    <w:rsid w:val="00BA54BE"/>
    <w:rsid w:val="00BE1463"/>
    <w:rsid w:val="00BE333E"/>
    <w:rsid w:val="00BE3971"/>
    <w:rsid w:val="00BE7FE1"/>
    <w:rsid w:val="00BF433D"/>
    <w:rsid w:val="00C03103"/>
    <w:rsid w:val="00C03414"/>
    <w:rsid w:val="00C04CB6"/>
    <w:rsid w:val="00C222F0"/>
    <w:rsid w:val="00C246C6"/>
    <w:rsid w:val="00C418CF"/>
    <w:rsid w:val="00C56BFD"/>
    <w:rsid w:val="00C61B67"/>
    <w:rsid w:val="00C67D08"/>
    <w:rsid w:val="00C70953"/>
    <w:rsid w:val="00C87AFE"/>
    <w:rsid w:val="00C97DDE"/>
    <w:rsid w:val="00CA05CE"/>
    <w:rsid w:val="00CA3C64"/>
    <w:rsid w:val="00CB2496"/>
    <w:rsid w:val="00CB770B"/>
    <w:rsid w:val="00CC1E3B"/>
    <w:rsid w:val="00CC5606"/>
    <w:rsid w:val="00CD7870"/>
    <w:rsid w:val="00CE4044"/>
    <w:rsid w:val="00CF27FA"/>
    <w:rsid w:val="00CF4EB0"/>
    <w:rsid w:val="00D051A6"/>
    <w:rsid w:val="00D1118F"/>
    <w:rsid w:val="00D17406"/>
    <w:rsid w:val="00D20CB1"/>
    <w:rsid w:val="00D21033"/>
    <w:rsid w:val="00D43BF2"/>
    <w:rsid w:val="00D465A4"/>
    <w:rsid w:val="00D55AF3"/>
    <w:rsid w:val="00D574C6"/>
    <w:rsid w:val="00D6660E"/>
    <w:rsid w:val="00D767DF"/>
    <w:rsid w:val="00D84063"/>
    <w:rsid w:val="00D91A1A"/>
    <w:rsid w:val="00D9303D"/>
    <w:rsid w:val="00DB0E0B"/>
    <w:rsid w:val="00DB5F13"/>
    <w:rsid w:val="00DD2A5C"/>
    <w:rsid w:val="00DD77A1"/>
    <w:rsid w:val="00DF6202"/>
    <w:rsid w:val="00E07589"/>
    <w:rsid w:val="00E11714"/>
    <w:rsid w:val="00E242A5"/>
    <w:rsid w:val="00E60A94"/>
    <w:rsid w:val="00E624B4"/>
    <w:rsid w:val="00E80C2B"/>
    <w:rsid w:val="00E87412"/>
    <w:rsid w:val="00E87590"/>
    <w:rsid w:val="00EA3EAF"/>
    <w:rsid w:val="00EB1477"/>
    <w:rsid w:val="00EB7B3C"/>
    <w:rsid w:val="00EC68B5"/>
    <w:rsid w:val="00ED0B7E"/>
    <w:rsid w:val="00ED5426"/>
    <w:rsid w:val="00EE511A"/>
    <w:rsid w:val="00EF7648"/>
    <w:rsid w:val="00F13B5D"/>
    <w:rsid w:val="00F2559B"/>
    <w:rsid w:val="00F25813"/>
    <w:rsid w:val="00F35ABE"/>
    <w:rsid w:val="00F379D8"/>
    <w:rsid w:val="00F42B7A"/>
    <w:rsid w:val="00F44A48"/>
    <w:rsid w:val="00F62C2E"/>
    <w:rsid w:val="00F665B0"/>
    <w:rsid w:val="00F7407B"/>
    <w:rsid w:val="00F95271"/>
    <w:rsid w:val="00FA278A"/>
    <w:rsid w:val="00FA30AB"/>
    <w:rsid w:val="00FB23E9"/>
    <w:rsid w:val="00FB43E6"/>
    <w:rsid w:val="00FC1F23"/>
    <w:rsid w:val="00FC41FB"/>
    <w:rsid w:val="00FC46AA"/>
    <w:rsid w:val="00FD70A0"/>
    <w:rsid w:val="05452AD6"/>
    <w:rsid w:val="09E51DB9"/>
    <w:rsid w:val="0CAE6695"/>
    <w:rsid w:val="0D0B092C"/>
    <w:rsid w:val="0E522378"/>
    <w:rsid w:val="1076361E"/>
    <w:rsid w:val="125266F9"/>
    <w:rsid w:val="13E36B60"/>
    <w:rsid w:val="15A4351C"/>
    <w:rsid w:val="175656ED"/>
    <w:rsid w:val="175C1A8D"/>
    <w:rsid w:val="19DB6A73"/>
    <w:rsid w:val="1A667444"/>
    <w:rsid w:val="1A8C5B2D"/>
    <w:rsid w:val="1BA6280B"/>
    <w:rsid w:val="1CE57C3C"/>
    <w:rsid w:val="1DA6499D"/>
    <w:rsid w:val="20F16974"/>
    <w:rsid w:val="24496D61"/>
    <w:rsid w:val="282429A1"/>
    <w:rsid w:val="28487199"/>
    <w:rsid w:val="284B2040"/>
    <w:rsid w:val="2BC4091D"/>
    <w:rsid w:val="2DED7F5E"/>
    <w:rsid w:val="30210E2D"/>
    <w:rsid w:val="32C77512"/>
    <w:rsid w:val="34310F9B"/>
    <w:rsid w:val="35B714E0"/>
    <w:rsid w:val="36044432"/>
    <w:rsid w:val="37C44F87"/>
    <w:rsid w:val="3A2C2B8D"/>
    <w:rsid w:val="3A8A1D4D"/>
    <w:rsid w:val="3C520006"/>
    <w:rsid w:val="3C791644"/>
    <w:rsid w:val="3C932632"/>
    <w:rsid w:val="3CD9715C"/>
    <w:rsid w:val="3F6911EC"/>
    <w:rsid w:val="3FE97491"/>
    <w:rsid w:val="40E7357D"/>
    <w:rsid w:val="434C3B06"/>
    <w:rsid w:val="43A45FE6"/>
    <w:rsid w:val="449957AD"/>
    <w:rsid w:val="464B302A"/>
    <w:rsid w:val="46AD1453"/>
    <w:rsid w:val="4728175F"/>
    <w:rsid w:val="47AE08EA"/>
    <w:rsid w:val="4A7027AB"/>
    <w:rsid w:val="4D9E5ECB"/>
    <w:rsid w:val="4ED832C6"/>
    <w:rsid w:val="4F6162A1"/>
    <w:rsid w:val="529E1C8E"/>
    <w:rsid w:val="566944B4"/>
    <w:rsid w:val="57C13472"/>
    <w:rsid w:val="58690EEA"/>
    <w:rsid w:val="5E094D87"/>
    <w:rsid w:val="5E8D7494"/>
    <w:rsid w:val="619134E1"/>
    <w:rsid w:val="62163497"/>
    <w:rsid w:val="64713731"/>
    <w:rsid w:val="658E2A77"/>
    <w:rsid w:val="6B5159AB"/>
    <w:rsid w:val="6BC94811"/>
    <w:rsid w:val="6DF12560"/>
    <w:rsid w:val="6EA322E2"/>
    <w:rsid w:val="6F4E0CA9"/>
    <w:rsid w:val="70F849F2"/>
    <w:rsid w:val="71462E73"/>
    <w:rsid w:val="72FC60C7"/>
    <w:rsid w:val="76CE3E8A"/>
    <w:rsid w:val="7FAC779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name="Date"/>
    <w:lsdException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uiPriority="99" w:name="FollowedHyperlink" w:locked="1"/>
    <w:lsdException w:qFormat="1" w:unhideWhenUsed="0" w:uiPriority="0" w:semiHidden="0" w:name="Strong"/>
    <w:lsdException w:qFormat="1" w:unhideWhenUsed="0" w:uiPriority="99" w:semiHidden="0" w:name="Emphasis" w:locked="1"/>
    <w:lsdException w:uiPriority="99" w:name="Document Map" w:locked="1"/>
    <w:lsdException w:uiPriority="99" w:name="Plain Text" w:locked="1"/>
    <w:lsdException w:uiPriority="99" w:name="E-mail Signature" w:locked="1"/>
    <w:lsdException w:qFormat="1" w:unhideWhenUsed="0" w:uiPriority="99"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qFormat="1" w:unhideWhenUsed="0" w:uiPriority="99" w:semiHidden="0" w:name="Table Grid" w:locked="1"/>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qFormat/>
    <w:uiPriority w:val="99"/>
    <w:pPr>
      <w:spacing w:after="120"/>
    </w:pPr>
    <w:rPr>
      <w:rFonts w:ascii="Times New Roman" w:hAnsi="Times New Roman"/>
      <w:szCs w:val="24"/>
    </w:rPr>
  </w:style>
  <w:style w:type="paragraph" w:styleId="3">
    <w:name w:val="Date"/>
    <w:basedOn w:val="1"/>
    <w:next w:val="1"/>
    <w:link w:val="16"/>
    <w:semiHidden/>
    <w:qFormat/>
    <w:uiPriority w:val="99"/>
    <w:pPr>
      <w:ind w:left="100" w:leftChars="2500"/>
    </w:pPr>
  </w:style>
  <w:style w:type="paragraph" w:styleId="4">
    <w:name w:val="Balloon Text"/>
    <w:basedOn w:val="1"/>
    <w:link w:val="17"/>
    <w:semiHidden/>
    <w:uiPriority w:val="99"/>
    <w:rPr>
      <w:sz w:val="18"/>
      <w:szCs w:val="18"/>
    </w:rPr>
  </w:style>
  <w:style w:type="paragraph" w:styleId="5">
    <w:name w:val="footer"/>
    <w:basedOn w:val="1"/>
    <w:link w:val="18"/>
    <w:qFormat/>
    <w:uiPriority w:val="99"/>
    <w:pPr>
      <w:tabs>
        <w:tab w:val="center" w:pos="4153"/>
        <w:tab w:val="right" w:pos="8306"/>
      </w:tabs>
      <w:snapToGrid w:val="0"/>
      <w:jc w:val="left"/>
    </w:pPr>
    <w:rPr>
      <w:sz w:val="18"/>
      <w:szCs w:val="18"/>
    </w:rPr>
  </w:style>
  <w:style w:type="paragraph" w:styleId="6">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7">
    <w:name w:val="List"/>
    <w:basedOn w:val="1"/>
    <w:uiPriority w:val="99"/>
    <w:pPr>
      <w:ind w:left="200" w:hanging="200" w:hangingChars="200"/>
    </w:pPr>
    <w:rPr>
      <w:rFonts w:ascii="Times New Roman" w:hAnsi="Times New Roman"/>
      <w:szCs w:val="24"/>
    </w:rPr>
  </w:style>
  <w:style w:type="paragraph" w:styleId="8">
    <w:name w:val="Normal (Web)"/>
    <w:basedOn w:val="1"/>
    <w:semiHidden/>
    <w:qFormat/>
    <w:uiPriority w:val="99"/>
    <w:pPr>
      <w:widowControl/>
      <w:spacing w:before="100" w:beforeAutospacing="1" w:after="100" w:afterAutospacing="1"/>
      <w:jc w:val="left"/>
    </w:pPr>
    <w:rPr>
      <w:rFonts w:ascii="宋体" w:hAnsi="宋体"/>
      <w:color w:val="000000"/>
      <w:kern w:val="0"/>
      <w:sz w:val="18"/>
      <w:szCs w:val="18"/>
    </w:rPr>
  </w:style>
  <w:style w:type="paragraph" w:styleId="9">
    <w:name w:val="Body Text First Indent"/>
    <w:basedOn w:val="2"/>
    <w:link w:val="20"/>
    <w:uiPriority w:val="99"/>
    <w:pPr>
      <w:ind w:firstLine="420" w:firstLineChars="100"/>
    </w:pPr>
  </w:style>
  <w:style w:type="table" w:styleId="11">
    <w:name w:val="Table Grid"/>
    <w:basedOn w:val="10"/>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Emphasis"/>
    <w:basedOn w:val="12"/>
    <w:qFormat/>
    <w:locked/>
    <w:uiPriority w:val="99"/>
    <w:rPr>
      <w:rFonts w:cs="Times New Roman"/>
      <w:i/>
      <w:iCs/>
    </w:rPr>
  </w:style>
  <w:style w:type="character" w:styleId="14">
    <w:name w:val="Hyperlink"/>
    <w:basedOn w:val="12"/>
    <w:qFormat/>
    <w:locked/>
    <w:uiPriority w:val="99"/>
    <w:rPr>
      <w:rFonts w:cs="Times New Roman"/>
      <w:color w:val="0000FF"/>
      <w:u w:val="single"/>
    </w:rPr>
  </w:style>
  <w:style w:type="character" w:customStyle="1" w:styleId="15">
    <w:name w:val="正文文本 Char"/>
    <w:basedOn w:val="12"/>
    <w:link w:val="2"/>
    <w:semiHidden/>
    <w:qFormat/>
    <w:locked/>
    <w:uiPriority w:val="99"/>
    <w:rPr>
      <w:rFonts w:ascii="Calibri" w:hAnsi="Calibri" w:cs="Times New Roman"/>
    </w:rPr>
  </w:style>
  <w:style w:type="character" w:customStyle="1" w:styleId="16">
    <w:name w:val="日期 Char"/>
    <w:basedOn w:val="12"/>
    <w:link w:val="3"/>
    <w:semiHidden/>
    <w:qFormat/>
    <w:locked/>
    <w:uiPriority w:val="99"/>
    <w:rPr>
      <w:rFonts w:cs="Times New Roman"/>
      <w:kern w:val="2"/>
      <w:sz w:val="22"/>
      <w:szCs w:val="22"/>
    </w:rPr>
  </w:style>
  <w:style w:type="character" w:customStyle="1" w:styleId="17">
    <w:name w:val="批注框文本 Char"/>
    <w:basedOn w:val="12"/>
    <w:link w:val="4"/>
    <w:semiHidden/>
    <w:qFormat/>
    <w:locked/>
    <w:uiPriority w:val="99"/>
    <w:rPr>
      <w:rFonts w:ascii="Calibri" w:hAnsi="Calibri" w:cs="Times New Roman"/>
      <w:sz w:val="2"/>
    </w:rPr>
  </w:style>
  <w:style w:type="character" w:customStyle="1" w:styleId="18">
    <w:name w:val="页脚 Char"/>
    <w:basedOn w:val="12"/>
    <w:link w:val="5"/>
    <w:qFormat/>
    <w:locked/>
    <w:uiPriority w:val="99"/>
    <w:rPr>
      <w:rFonts w:ascii="Calibri" w:hAnsi="Calibri" w:eastAsia="宋体" w:cs="Times New Roman"/>
      <w:kern w:val="2"/>
      <w:sz w:val="18"/>
      <w:szCs w:val="18"/>
    </w:rPr>
  </w:style>
  <w:style w:type="character" w:customStyle="1" w:styleId="19">
    <w:name w:val="页眉 Char"/>
    <w:basedOn w:val="12"/>
    <w:link w:val="6"/>
    <w:locked/>
    <w:uiPriority w:val="99"/>
    <w:rPr>
      <w:rFonts w:ascii="Calibri" w:hAnsi="Calibri" w:eastAsia="宋体" w:cs="Times New Roman"/>
      <w:kern w:val="2"/>
      <w:sz w:val="18"/>
      <w:szCs w:val="18"/>
    </w:rPr>
  </w:style>
  <w:style w:type="character" w:customStyle="1" w:styleId="20">
    <w:name w:val="正文首行缩进 Char"/>
    <w:basedOn w:val="15"/>
    <w:link w:val="9"/>
    <w:semiHidden/>
    <w:qFormat/>
    <w:locked/>
    <w:uiPriority w:val="99"/>
  </w:style>
  <w:style w:type="paragraph" w:styleId="21">
    <w:name w:val="List Paragraph"/>
    <w:basedOn w:val="1"/>
    <w:link w:val="22"/>
    <w:qFormat/>
    <w:uiPriority w:val="99"/>
    <w:pPr>
      <w:ind w:firstLine="420" w:firstLineChars="200"/>
    </w:pPr>
    <w:rPr>
      <w:sz w:val="22"/>
      <w:szCs w:val="20"/>
    </w:rPr>
  </w:style>
  <w:style w:type="character" w:customStyle="1" w:styleId="22">
    <w:name w:val="列出段落 Char"/>
    <w:link w:val="21"/>
    <w:qFormat/>
    <w:locked/>
    <w:uiPriority w:val="99"/>
    <w:rPr>
      <w:kern w:val="2"/>
      <w:sz w:val="22"/>
    </w:rPr>
  </w:style>
  <w:style w:type="paragraph" w:styleId="23">
    <w:name w:val="No Spacing"/>
    <w:link w:val="24"/>
    <w:qFormat/>
    <w:uiPriority w:val="99"/>
    <w:rPr>
      <w:rFonts w:ascii="Calibri" w:hAnsi="Calibri" w:eastAsia="宋体" w:cs="Times New Roman"/>
      <w:sz w:val="22"/>
      <w:szCs w:val="22"/>
      <w:lang w:val="en-US" w:eastAsia="zh-CN" w:bidi="ar-SA"/>
    </w:rPr>
  </w:style>
  <w:style w:type="character" w:customStyle="1" w:styleId="24">
    <w:name w:val="无间隔 Char"/>
    <w:basedOn w:val="12"/>
    <w:link w:val="23"/>
    <w:qFormat/>
    <w:locked/>
    <w:uiPriority w:val="99"/>
    <w:rPr>
      <w:sz w:val="22"/>
      <w:szCs w:val="22"/>
      <w:lang w:val="en-US" w:eastAsia="zh-CN" w:bidi="ar-SA"/>
    </w:rPr>
  </w:style>
  <w:style w:type="character" w:customStyle="1" w:styleId="25">
    <w:name w:val="fontstyle01"/>
    <w:basedOn w:val="12"/>
    <w:qFormat/>
    <w:uiPriority w:val="99"/>
    <w:rPr>
      <w:rFonts w:ascii="宋体" w:hAnsi="宋体" w:eastAsia="宋体" w:cs="Times New Roman"/>
      <w:color w:val="000000"/>
      <w:sz w:val="40"/>
      <w:szCs w:val="40"/>
    </w:rPr>
  </w:style>
  <w:style w:type="paragraph" w:customStyle="1" w:styleId="26">
    <w:name w:val="biao"/>
    <w:basedOn w:val="1"/>
    <w:qFormat/>
    <w:uiPriority w:val="99"/>
    <w:pPr>
      <w:tabs>
        <w:tab w:val="left" w:pos="2340"/>
      </w:tabs>
      <w:autoSpaceDE w:val="0"/>
      <w:autoSpaceDN w:val="0"/>
      <w:adjustRightInd w:val="0"/>
      <w:spacing w:line="240" w:lineRule="atLeast"/>
      <w:jc w:val="center"/>
    </w:pPr>
    <w:rPr>
      <w:rFonts w:ascii="黑体" w:hAnsi="Tms Rmn" w:eastAsia="黑体"/>
      <w:kern w:val="0"/>
      <w:sz w:val="3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546</Words>
  <Characters>3117</Characters>
  <Lines>25</Lines>
  <Paragraphs>7</Paragraphs>
  <TotalTime>14</TotalTime>
  <ScaleCrop>false</ScaleCrop>
  <LinksUpToDate>false</LinksUpToDate>
  <CharactersWithSpaces>3656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2020-05-07T06:55:00Z</dcterms:created>
  <dc:creator>Administrator</dc:creator>
  <cp:lastModifiedBy>zgs01</cp:lastModifiedBy>
  <cp:lastPrinted>2020-05-09T00:42:00Z</cp:lastPrinted>
  <dcterms:modified xsi:type="dcterms:W3CDTF">2020-05-09T00:43:39Z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